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38C19" w14:textId="26D8376F" w:rsidR="00006869" w:rsidRPr="0064648B" w:rsidRDefault="00006869" w:rsidP="00006869">
      <w:pPr>
        <w:tabs>
          <w:tab w:val="left" w:pos="1985"/>
        </w:tabs>
        <w:spacing w:after="120"/>
        <w:rPr>
          <w:rFonts w:ascii="Arial" w:hAnsi="Arial" w:cs="Arial"/>
          <w:b/>
          <w:noProof/>
          <w:szCs w:val="20"/>
          <w:lang w:val="en-GB" w:eastAsia="en-US"/>
        </w:rPr>
      </w:pPr>
      <w:bookmarkStart w:id="0" w:name="historyclause"/>
      <w:r w:rsidRPr="0064648B">
        <w:rPr>
          <w:rFonts w:ascii="Arial" w:hAnsi="Arial" w:cs="Arial"/>
          <w:b/>
          <w:noProof/>
          <w:szCs w:val="20"/>
          <w:lang w:val="en-GB" w:eastAsia="en-US"/>
        </w:rPr>
        <w:t>3GPP TSG-RAN WG4 Meeting #10</w:t>
      </w:r>
      <w:r w:rsidR="0021091A">
        <w:rPr>
          <w:rFonts w:ascii="Arial" w:hAnsi="Arial" w:cs="Arial"/>
          <w:b/>
          <w:noProof/>
          <w:szCs w:val="20"/>
          <w:lang w:val="en-GB" w:eastAsia="en-US"/>
        </w:rPr>
        <w:t>8</w:t>
      </w:r>
      <w:r w:rsidR="00275F35">
        <w:rPr>
          <w:rFonts w:ascii="Arial" w:hAnsi="Arial" w:cs="Arial"/>
          <w:b/>
          <w:noProof/>
          <w:szCs w:val="20"/>
          <w:lang w:val="en-GB" w:eastAsia="en-US"/>
        </w:rPr>
        <w:t>bis</w:t>
      </w:r>
      <w:r w:rsidRPr="0064648B">
        <w:rPr>
          <w:rFonts w:ascii="Arial" w:hAnsi="Arial" w:cs="Arial"/>
          <w:b/>
          <w:noProof/>
          <w:szCs w:val="20"/>
          <w:lang w:val="en-GB" w:eastAsia="en-US"/>
        </w:rPr>
        <w:tab/>
      </w:r>
      <w:r w:rsidRPr="0064648B">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sidR="00C66439" w:rsidRPr="00C66439">
        <w:rPr>
          <w:rFonts w:ascii="Arial" w:hAnsi="Arial" w:cs="Arial"/>
          <w:b/>
          <w:noProof/>
          <w:szCs w:val="20"/>
          <w:lang w:val="en-GB" w:eastAsia="en-US"/>
        </w:rPr>
        <w:t>R4-23</w:t>
      </w:r>
      <w:r w:rsidR="00607B45">
        <w:rPr>
          <w:rFonts w:ascii="Arial" w:hAnsi="Arial" w:cs="Arial"/>
          <w:b/>
          <w:noProof/>
          <w:szCs w:val="20"/>
          <w:lang w:val="en-GB" w:eastAsia="en-US"/>
        </w:rPr>
        <w:t>15507</w:t>
      </w:r>
    </w:p>
    <w:p w14:paraId="4350DAB6" w14:textId="77777777" w:rsidR="00275F35" w:rsidRDefault="00275F35" w:rsidP="00275F35">
      <w:pPr>
        <w:tabs>
          <w:tab w:val="left" w:pos="1985"/>
        </w:tabs>
        <w:spacing w:after="120"/>
        <w:rPr>
          <w:rFonts w:ascii="Arial" w:hAnsi="Arial" w:cs="Arial"/>
          <w:b/>
          <w:noProof/>
          <w:lang w:val="en-GB"/>
        </w:rPr>
      </w:pPr>
      <w:r w:rsidRPr="0074536E">
        <w:rPr>
          <w:rFonts w:ascii="Arial" w:hAnsi="Arial" w:cs="Arial"/>
          <w:b/>
          <w:noProof/>
        </w:rPr>
        <w:t>Xiamen, China</w:t>
      </w:r>
      <w:r w:rsidRPr="00DF0371">
        <w:rPr>
          <w:rFonts w:ascii="Arial" w:hAnsi="Arial" w:cs="Arial"/>
          <w:b/>
          <w:noProof/>
        </w:rPr>
        <w:t xml:space="preserve">, </w:t>
      </w:r>
      <w:r>
        <w:rPr>
          <w:rFonts w:ascii="Arial" w:hAnsi="Arial" w:cs="Arial"/>
          <w:b/>
          <w:noProof/>
        </w:rPr>
        <w:t>Oct</w:t>
      </w:r>
      <w:r w:rsidRPr="00DF0371">
        <w:rPr>
          <w:rFonts w:ascii="Arial" w:hAnsi="Arial" w:cs="Arial"/>
          <w:b/>
          <w:noProof/>
        </w:rPr>
        <w:t xml:space="preserve">. </w:t>
      </w:r>
      <w:r>
        <w:rPr>
          <w:rFonts w:ascii="Arial" w:hAnsi="Arial" w:cs="Arial"/>
          <w:b/>
          <w:noProof/>
        </w:rPr>
        <w:t>9</w:t>
      </w:r>
      <w:r w:rsidRPr="00DF0371">
        <w:rPr>
          <w:rFonts w:ascii="Arial" w:hAnsi="Arial" w:cs="Arial"/>
          <w:b/>
          <w:noProof/>
        </w:rPr>
        <w:t xml:space="preserve"> – </w:t>
      </w:r>
      <w:r>
        <w:rPr>
          <w:rFonts w:ascii="Arial" w:hAnsi="Arial" w:cs="Arial"/>
          <w:b/>
          <w:noProof/>
        </w:rPr>
        <w:t>13</w:t>
      </w:r>
      <w:r w:rsidRPr="00E25BFC">
        <w:rPr>
          <w:rFonts w:ascii="Arial" w:hAnsi="Arial" w:cs="Arial"/>
          <w:b/>
          <w:noProof/>
          <w:lang w:val="en-GB"/>
        </w:rPr>
        <w:t>, 2023</w:t>
      </w:r>
    </w:p>
    <w:p w14:paraId="57CA4489" w14:textId="331024D1"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sidR="00275F35">
        <w:rPr>
          <w:rFonts w:ascii="Arial" w:hAnsi="Arial" w:cs="Arial"/>
          <w:b/>
          <w:sz w:val="22"/>
          <w:szCs w:val="22"/>
        </w:rPr>
        <w:t>5</w:t>
      </w:r>
      <w:r>
        <w:rPr>
          <w:rFonts w:ascii="Arial" w:hAnsi="Arial" w:cs="Arial"/>
          <w:b/>
          <w:sz w:val="22"/>
          <w:szCs w:val="22"/>
        </w:rPr>
        <w:t>.</w:t>
      </w:r>
      <w:r w:rsidR="0021091A">
        <w:rPr>
          <w:rFonts w:ascii="Arial" w:hAnsi="Arial" w:cs="Arial"/>
          <w:b/>
          <w:sz w:val="22"/>
          <w:szCs w:val="22"/>
        </w:rPr>
        <w:t>7</w:t>
      </w:r>
      <w:r>
        <w:rPr>
          <w:rFonts w:ascii="Arial" w:hAnsi="Arial" w:cs="Arial"/>
          <w:b/>
          <w:sz w:val="22"/>
          <w:szCs w:val="22"/>
        </w:rPr>
        <w:t>.</w:t>
      </w:r>
      <w:r w:rsidR="00275F35">
        <w:rPr>
          <w:rFonts w:ascii="Arial" w:hAnsi="Arial" w:cs="Arial"/>
          <w:b/>
          <w:sz w:val="22"/>
          <w:szCs w:val="22"/>
        </w:rPr>
        <w:t>2</w:t>
      </w:r>
      <w:r w:rsidR="00294DDA">
        <w:rPr>
          <w:rFonts w:ascii="Arial" w:hAnsi="Arial" w:cs="Arial"/>
          <w:b/>
          <w:sz w:val="22"/>
          <w:szCs w:val="22"/>
        </w:rPr>
        <w:t>.</w:t>
      </w:r>
      <w:r w:rsidR="003242B5">
        <w:rPr>
          <w:rFonts w:ascii="Arial" w:hAnsi="Arial" w:cs="Arial"/>
          <w:b/>
          <w:sz w:val="22"/>
          <w:szCs w:val="22"/>
        </w:rPr>
        <w:t>5</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62AAB40B"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C66439">
        <w:rPr>
          <w:rFonts w:ascii="Arial" w:hAnsi="Arial" w:cs="Arial"/>
          <w:b/>
          <w:sz w:val="22"/>
          <w:szCs w:val="22"/>
        </w:rPr>
        <w:t xml:space="preserve">On </w:t>
      </w:r>
      <w:r w:rsidR="00167A77" w:rsidRPr="00167A77">
        <w:rPr>
          <w:rFonts w:ascii="Arial" w:hAnsi="Arial" w:cs="Arial"/>
          <w:b/>
          <w:sz w:val="22"/>
          <w:szCs w:val="22"/>
        </w:rPr>
        <w:t>TCI state switching for NR FR2 multi-Rx chain DL reception</w:t>
      </w:r>
    </w:p>
    <w:p w14:paraId="0207DB43" w14:textId="332291DC" w:rsidR="00D46431" w:rsidRPr="004A066A" w:rsidRDefault="003844E2" w:rsidP="004A066A">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7F0AED">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8BECEBD" w14:textId="0C389940" w:rsidR="0065563F" w:rsidRDefault="00294DDA" w:rsidP="00400308">
      <w:pPr>
        <w:pStyle w:val="B1"/>
        <w:overflowPunct w:val="0"/>
        <w:autoSpaceDE w:val="0"/>
        <w:autoSpaceDN w:val="0"/>
        <w:adjustRightInd w:val="0"/>
        <w:spacing w:before="180"/>
        <w:ind w:left="0" w:firstLine="0"/>
        <w:textAlignment w:val="baseline"/>
        <w:rPr>
          <w:sz w:val="20"/>
          <w:szCs w:val="20"/>
          <w:lang w:eastAsia="ja-JP"/>
        </w:rPr>
      </w:pPr>
      <w:r>
        <w:rPr>
          <w:sz w:val="20"/>
          <w:szCs w:val="20"/>
          <w:lang w:eastAsia="ja-JP"/>
        </w:rPr>
        <w:t>At RAN4 meeting</w:t>
      </w:r>
      <w:r w:rsidR="0000193D">
        <w:rPr>
          <w:sz w:val="20"/>
          <w:szCs w:val="20"/>
          <w:lang w:eastAsia="ja-JP"/>
        </w:rPr>
        <w:t>#10</w:t>
      </w:r>
      <w:r w:rsidR="00B570A9">
        <w:rPr>
          <w:sz w:val="20"/>
          <w:szCs w:val="20"/>
          <w:lang w:eastAsia="ja-JP"/>
        </w:rPr>
        <w:t>8</w:t>
      </w:r>
      <w:r>
        <w:rPr>
          <w:sz w:val="20"/>
          <w:szCs w:val="20"/>
          <w:lang w:eastAsia="ja-JP"/>
        </w:rPr>
        <w:t xml:space="preserve">, </w:t>
      </w:r>
      <w:r w:rsidR="0000193D">
        <w:rPr>
          <w:sz w:val="20"/>
          <w:szCs w:val="20"/>
          <w:lang w:eastAsia="ja-JP"/>
        </w:rPr>
        <w:t xml:space="preserve">a </w:t>
      </w:r>
      <w:r w:rsidR="00B0107E" w:rsidRPr="00B0107E">
        <w:rPr>
          <w:sz w:val="20"/>
          <w:szCs w:val="20"/>
          <w:lang w:eastAsia="ja-JP"/>
        </w:rPr>
        <w:t xml:space="preserve">WF on TCI state switching in multi-Rx chain DL reception </w:t>
      </w:r>
      <w:r w:rsidR="0000193D">
        <w:rPr>
          <w:sz w:val="20"/>
          <w:szCs w:val="20"/>
          <w:lang w:eastAsia="ja-JP"/>
        </w:rPr>
        <w:t xml:space="preserve">was agreed </w:t>
      </w:r>
      <w:r w:rsidR="0065563F">
        <w:rPr>
          <w:sz w:val="20"/>
          <w:szCs w:val="20"/>
          <w:lang w:eastAsia="ja-JP"/>
        </w:rPr>
        <w:t>[1]</w:t>
      </w:r>
      <w:r>
        <w:rPr>
          <w:sz w:val="20"/>
          <w:szCs w:val="20"/>
          <w:lang w:eastAsia="ja-JP"/>
        </w:rPr>
        <w:t>.</w:t>
      </w:r>
      <w:r w:rsidR="00805370">
        <w:rPr>
          <w:sz w:val="20"/>
          <w:szCs w:val="20"/>
          <w:lang w:eastAsia="ja-JP"/>
        </w:rPr>
        <w:t xml:space="preserve"> </w:t>
      </w:r>
      <w:r w:rsidR="00083414">
        <w:rPr>
          <w:sz w:val="20"/>
          <w:szCs w:val="20"/>
        </w:rPr>
        <w:t xml:space="preserve">In this contribution, we </w:t>
      </w:r>
      <w:r w:rsidR="0000193D">
        <w:rPr>
          <w:sz w:val="20"/>
          <w:szCs w:val="20"/>
        </w:rPr>
        <w:t>discuss the</w:t>
      </w:r>
      <w:r w:rsidR="0065563F">
        <w:rPr>
          <w:sz w:val="20"/>
          <w:szCs w:val="20"/>
        </w:rPr>
        <w:t xml:space="preserve"> following issues:</w:t>
      </w:r>
    </w:p>
    <w:p w14:paraId="5FBBBA6B" w14:textId="5DF02A54" w:rsidR="0001496E" w:rsidRDefault="00C056AE" w:rsidP="0000193D">
      <w:pPr>
        <w:pStyle w:val="ListParagraph"/>
        <w:numPr>
          <w:ilvl w:val="0"/>
          <w:numId w:val="37"/>
        </w:numPr>
        <w:spacing w:before="100" w:beforeAutospacing="1" w:after="100" w:afterAutospacing="1"/>
        <w:rPr>
          <w:sz w:val="20"/>
          <w:szCs w:val="20"/>
        </w:rPr>
      </w:pPr>
      <w:r>
        <w:rPr>
          <w:sz w:val="20"/>
          <w:szCs w:val="20"/>
        </w:rPr>
        <w:t xml:space="preserve">TCI state switching </w:t>
      </w:r>
      <w:proofErr w:type="gramStart"/>
      <w:r>
        <w:rPr>
          <w:sz w:val="20"/>
          <w:szCs w:val="20"/>
        </w:rPr>
        <w:t>independenc</w:t>
      </w:r>
      <w:r w:rsidR="009C1AD8">
        <w:rPr>
          <w:sz w:val="20"/>
          <w:szCs w:val="20"/>
        </w:rPr>
        <w:t>e</w:t>
      </w:r>
      <w:proofErr w:type="gramEnd"/>
    </w:p>
    <w:p w14:paraId="4373786D" w14:textId="77777777" w:rsidR="00B570A9" w:rsidRPr="001F40CB" w:rsidRDefault="00B570A9" w:rsidP="00B570A9">
      <w:pPr>
        <w:pStyle w:val="ListParagraph"/>
        <w:numPr>
          <w:ilvl w:val="0"/>
          <w:numId w:val="37"/>
        </w:numPr>
        <w:spacing w:before="100" w:beforeAutospacing="1" w:after="100" w:afterAutospacing="1"/>
        <w:rPr>
          <w:sz w:val="20"/>
          <w:szCs w:val="20"/>
        </w:rPr>
      </w:pPr>
      <w:r w:rsidRPr="00624605">
        <w:rPr>
          <w:sz w:val="20"/>
          <w:szCs w:val="20"/>
        </w:rPr>
        <w:t>Active TCI state list update</w:t>
      </w:r>
    </w:p>
    <w:p w14:paraId="17519B8E" w14:textId="138BB0AF" w:rsidR="0051004D" w:rsidRDefault="00C056AE" w:rsidP="0065563F">
      <w:pPr>
        <w:pStyle w:val="ListParagraph"/>
        <w:numPr>
          <w:ilvl w:val="0"/>
          <w:numId w:val="37"/>
        </w:numPr>
        <w:spacing w:before="100" w:beforeAutospacing="1" w:after="100" w:afterAutospacing="1"/>
        <w:rPr>
          <w:sz w:val="20"/>
          <w:szCs w:val="20"/>
        </w:rPr>
      </w:pPr>
      <w:r w:rsidRPr="00C056AE">
        <w:rPr>
          <w:sz w:val="20"/>
          <w:szCs w:val="20"/>
        </w:rPr>
        <w:t>UE behavior</w:t>
      </w:r>
      <w:r w:rsidR="00BE5B23">
        <w:rPr>
          <w:sz w:val="20"/>
          <w:szCs w:val="20"/>
        </w:rPr>
        <w:t xml:space="preserve"> in case the UE does not support the two configured target TCI </w:t>
      </w:r>
      <w:proofErr w:type="gramStart"/>
      <w:r w:rsidR="00BE5B23">
        <w:rPr>
          <w:sz w:val="20"/>
          <w:szCs w:val="20"/>
        </w:rPr>
        <w:t>states</w:t>
      </w:r>
      <w:proofErr w:type="gramEnd"/>
      <w:r w:rsidR="00BE5B23">
        <w:rPr>
          <w:sz w:val="20"/>
          <w:szCs w:val="20"/>
        </w:rPr>
        <w:t xml:space="preserve"> </w:t>
      </w:r>
    </w:p>
    <w:p w14:paraId="42E3FB41" w14:textId="2BBF79A8" w:rsidR="004C5265" w:rsidRDefault="008E7986" w:rsidP="005037D3">
      <w:pPr>
        <w:pStyle w:val="Heading1"/>
      </w:pPr>
      <w:r>
        <w:t>2</w:t>
      </w:r>
      <w:r>
        <w:tab/>
      </w:r>
      <w:r w:rsidR="0077432F">
        <w:t>Discussion</w:t>
      </w:r>
    </w:p>
    <w:p w14:paraId="7B9A3FC2" w14:textId="23F2178C" w:rsidR="009F2B49" w:rsidRDefault="009F2B49" w:rsidP="009F2B49">
      <w:pPr>
        <w:pStyle w:val="Heading2"/>
      </w:pPr>
      <w:r>
        <w:t>2.</w:t>
      </w:r>
      <w:r w:rsidR="006A0912">
        <w:t>1</w:t>
      </w:r>
      <w:r>
        <w:t xml:space="preserve"> </w:t>
      </w:r>
      <w:r w:rsidR="00C056AE" w:rsidRPr="00C056AE">
        <w:t xml:space="preserve">TCI state switching </w:t>
      </w:r>
      <w:proofErr w:type="gramStart"/>
      <w:r w:rsidR="00C056AE" w:rsidRPr="00C056AE">
        <w:t>independenc</w:t>
      </w:r>
      <w:r w:rsidR="009C1AD8">
        <w:t>e</w:t>
      </w:r>
      <w:proofErr w:type="gramEnd"/>
    </w:p>
    <w:p w14:paraId="0C18061F" w14:textId="1C8346E7" w:rsidR="00C056AE" w:rsidRDefault="00DD5915" w:rsidP="00A41D34">
      <w:pPr>
        <w:autoSpaceDE w:val="0"/>
        <w:autoSpaceDN w:val="0"/>
        <w:adjustRightInd w:val="0"/>
        <w:jc w:val="both"/>
        <w:rPr>
          <w:color w:val="000000"/>
          <w:sz w:val="20"/>
          <w:szCs w:val="20"/>
        </w:rPr>
      </w:pPr>
      <w:r>
        <w:rPr>
          <w:color w:val="000000"/>
          <w:sz w:val="20"/>
          <w:szCs w:val="20"/>
        </w:rPr>
        <w:t xml:space="preserve">At the last meeting, we raised the issue that there might be some constraints that would render the two TCI state switching interdependent, although the general expectation in RAN4 is that for </w:t>
      </w:r>
      <w:r w:rsidR="002E1F9D">
        <w:rPr>
          <w:color w:val="000000"/>
          <w:sz w:val="20"/>
          <w:szCs w:val="20"/>
        </w:rPr>
        <w:t xml:space="preserve">the two </w:t>
      </w:r>
      <w:r w:rsidR="00350433">
        <w:rPr>
          <w:color w:val="000000"/>
          <w:sz w:val="20"/>
          <w:szCs w:val="20"/>
        </w:rPr>
        <w:t xml:space="preserve">current </w:t>
      </w:r>
      <w:r w:rsidR="002E1F9D">
        <w:rPr>
          <w:color w:val="000000"/>
          <w:sz w:val="20"/>
          <w:szCs w:val="20"/>
        </w:rPr>
        <w:t xml:space="preserve">TCI states, when one TCI state is switched, it should be independent from the other TCI state. </w:t>
      </w:r>
      <w:r>
        <w:rPr>
          <w:color w:val="000000"/>
          <w:sz w:val="20"/>
          <w:szCs w:val="20"/>
        </w:rPr>
        <w:t>T</w:t>
      </w:r>
      <w:r w:rsidR="00350433">
        <w:rPr>
          <w:color w:val="000000"/>
          <w:sz w:val="20"/>
          <w:szCs w:val="20"/>
        </w:rPr>
        <w:t xml:space="preserve">he </w:t>
      </w:r>
      <w:r>
        <w:rPr>
          <w:color w:val="000000"/>
          <w:sz w:val="20"/>
          <w:szCs w:val="20"/>
        </w:rPr>
        <w:t xml:space="preserve">possible </w:t>
      </w:r>
      <w:r w:rsidR="00350433">
        <w:rPr>
          <w:color w:val="000000"/>
          <w:sz w:val="20"/>
          <w:szCs w:val="20"/>
        </w:rPr>
        <w:t>constraints</w:t>
      </w:r>
      <w:r>
        <w:rPr>
          <w:color w:val="000000"/>
          <w:sz w:val="20"/>
          <w:szCs w:val="20"/>
        </w:rPr>
        <w:t xml:space="preserve"> are given below</w:t>
      </w:r>
      <w:r w:rsidR="00350433">
        <w:rPr>
          <w:color w:val="000000"/>
          <w:sz w:val="20"/>
          <w:szCs w:val="20"/>
        </w:rPr>
        <w:t>:</w:t>
      </w:r>
      <w:r w:rsidR="002E1F9D">
        <w:rPr>
          <w:color w:val="000000"/>
          <w:sz w:val="20"/>
          <w:szCs w:val="20"/>
        </w:rPr>
        <w:t xml:space="preserve"> </w:t>
      </w:r>
    </w:p>
    <w:p w14:paraId="40D629E9" w14:textId="25F78514" w:rsidR="002E1F9D" w:rsidRDefault="002E1F9D" w:rsidP="00A41D34">
      <w:pPr>
        <w:pStyle w:val="ListParagraph"/>
        <w:numPr>
          <w:ilvl w:val="0"/>
          <w:numId w:val="46"/>
        </w:numPr>
        <w:autoSpaceDE w:val="0"/>
        <w:autoSpaceDN w:val="0"/>
        <w:adjustRightInd w:val="0"/>
        <w:jc w:val="both"/>
        <w:rPr>
          <w:color w:val="000000"/>
          <w:sz w:val="20"/>
          <w:szCs w:val="20"/>
        </w:rPr>
      </w:pPr>
      <w:r>
        <w:rPr>
          <w:color w:val="000000"/>
          <w:sz w:val="20"/>
          <w:szCs w:val="20"/>
        </w:rPr>
        <w:t xml:space="preserve">The possible </w:t>
      </w:r>
      <w:r w:rsidR="00350433">
        <w:rPr>
          <w:color w:val="000000"/>
          <w:sz w:val="20"/>
          <w:szCs w:val="20"/>
        </w:rPr>
        <w:t xml:space="preserve">RF interaction between the panels. For example, let’s assume TCI state 1 is supported by panel A, TCI state 2 is supported by panel B. During TCI state switch, TCI state 2 switches to TCI state 3, which is supported by panel C. In this case, the UE needs to power off panel B and power on panel C. </w:t>
      </w:r>
      <w:r w:rsidR="00700EBB">
        <w:rPr>
          <w:color w:val="000000"/>
          <w:sz w:val="20"/>
          <w:szCs w:val="20"/>
        </w:rPr>
        <w:t xml:space="preserve">As a result, </w:t>
      </w:r>
      <w:r w:rsidR="00350433">
        <w:rPr>
          <w:color w:val="000000"/>
          <w:sz w:val="20"/>
          <w:szCs w:val="20"/>
        </w:rPr>
        <w:t>there might be some transient impact on panel A because of the power</w:t>
      </w:r>
      <w:r w:rsidR="008F0C79">
        <w:rPr>
          <w:color w:val="000000"/>
          <w:sz w:val="20"/>
          <w:szCs w:val="20"/>
        </w:rPr>
        <w:t>-</w:t>
      </w:r>
      <w:r w:rsidR="00350433">
        <w:rPr>
          <w:color w:val="000000"/>
          <w:sz w:val="20"/>
          <w:szCs w:val="20"/>
        </w:rPr>
        <w:t>off/on of panel B/C, respectively, depending on the power supply and panel RF setting</w:t>
      </w:r>
      <w:r w:rsidR="008F0C79">
        <w:rPr>
          <w:color w:val="000000"/>
          <w:sz w:val="20"/>
          <w:szCs w:val="20"/>
        </w:rPr>
        <w:t xml:space="preserve"> preparation</w:t>
      </w:r>
      <w:r w:rsidR="00350433">
        <w:rPr>
          <w:color w:val="000000"/>
          <w:sz w:val="20"/>
          <w:szCs w:val="20"/>
        </w:rPr>
        <w:t xml:space="preserve">. In an extreme case, </w:t>
      </w:r>
      <w:r w:rsidR="008F0C79">
        <w:rPr>
          <w:color w:val="000000"/>
          <w:sz w:val="20"/>
          <w:szCs w:val="20"/>
        </w:rPr>
        <w:t>both TCI states 1 and 2 switch to TCI states 3 and 4 and involve power-off of two panels and power-on of another two panels.</w:t>
      </w:r>
    </w:p>
    <w:p w14:paraId="1FA3872D" w14:textId="6A5B7843" w:rsidR="00F71571" w:rsidRDefault="00911016" w:rsidP="00F71571">
      <w:pPr>
        <w:pStyle w:val="ListParagraph"/>
        <w:numPr>
          <w:ilvl w:val="0"/>
          <w:numId w:val="46"/>
        </w:numPr>
        <w:autoSpaceDE w:val="0"/>
        <w:autoSpaceDN w:val="0"/>
        <w:adjustRightInd w:val="0"/>
        <w:jc w:val="both"/>
        <w:rPr>
          <w:color w:val="000000"/>
          <w:sz w:val="20"/>
          <w:szCs w:val="20"/>
        </w:rPr>
      </w:pPr>
      <w:r w:rsidRPr="008F0C79">
        <w:rPr>
          <w:color w:val="000000"/>
          <w:sz w:val="20"/>
          <w:szCs w:val="20"/>
        </w:rPr>
        <w:t>L1</w:t>
      </w:r>
      <w:r>
        <w:rPr>
          <w:color w:val="000000"/>
          <w:sz w:val="20"/>
          <w:szCs w:val="20"/>
        </w:rPr>
        <w:t xml:space="preserve"> </w:t>
      </w:r>
      <w:r w:rsidRPr="008F0C79">
        <w:rPr>
          <w:color w:val="000000"/>
          <w:sz w:val="20"/>
          <w:szCs w:val="20"/>
        </w:rPr>
        <w:t>measurement and processing constraint</w:t>
      </w:r>
      <w:r>
        <w:rPr>
          <w:color w:val="000000"/>
          <w:sz w:val="20"/>
          <w:szCs w:val="20"/>
        </w:rPr>
        <w:t xml:space="preserve">. </w:t>
      </w:r>
      <w:r w:rsidR="00D031B0">
        <w:rPr>
          <w:color w:val="000000"/>
          <w:sz w:val="20"/>
          <w:szCs w:val="20"/>
        </w:rPr>
        <w:t xml:space="preserve">If both target TCI states are unknow, the UE needs to perform </w:t>
      </w:r>
      <w:r>
        <w:rPr>
          <w:color w:val="000000"/>
          <w:sz w:val="20"/>
          <w:szCs w:val="20"/>
        </w:rPr>
        <w:t xml:space="preserve">parallel </w:t>
      </w:r>
      <w:r w:rsidR="00D031B0">
        <w:rPr>
          <w:color w:val="000000"/>
          <w:sz w:val="20"/>
          <w:szCs w:val="20"/>
        </w:rPr>
        <w:t>L1</w:t>
      </w:r>
      <w:r>
        <w:rPr>
          <w:color w:val="000000"/>
          <w:sz w:val="20"/>
          <w:szCs w:val="20"/>
        </w:rPr>
        <w:t>-RSRP</w:t>
      </w:r>
      <w:r w:rsidR="00D031B0">
        <w:rPr>
          <w:color w:val="000000"/>
          <w:sz w:val="20"/>
          <w:szCs w:val="20"/>
        </w:rPr>
        <w:t xml:space="preserve"> </w:t>
      </w:r>
      <w:r>
        <w:rPr>
          <w:color w:val="000000"/>
          <w:sz w:val="20"/>
          <w:szCs w:val="20"/>
        </w:rPr>
        <w:t>measurement for RX beam refinement</w:t>
      </w:r>
      <w:r w:rsidR="00D031B0">
        <w:rPr>
          <w:color w:val="000000"/>
          <w:sz w:val="20"/>
          <w:szCs w:val="20"/>
        </w:rPr>
        <w:t>.</w:t>
      </w:r>
      <w:r>
        <w:rPr>
          <w:color w:val="000000"/>
          <w:sz w:val="20"/>
          <w:szCs w:val="20"/>
        </w:rPr>
        <w:t xml:space="preserve"> If </w:t>
      </w:r>
      <w:r w:rsidR="008F0C79" w:rsidRPr="008F0C79">
        <w:rPr>
          <w:color w:val="000000"/>
          <w:sz w:val="20"/>
          <w:szCs w:val="20"/>
        </w:rPr>
        <w:t xml:space="preserve">there is some baseband resource sharing </w:t>
      </w:r>
      <w:r w:rsidR="008A24DA">
        <w:rPr>
          <w:color w:val="000000"/>
          <w:sz w:val="20"/>
          <w:szCs w:val="20"/>
        </w:rPr>
        <w:t xml:space="preserve">between the </w:t>
      </w:r>
      <w:r w:rsidR="008F0C79" w:rsidRPr="008F0C79">
        <w:rPr>
          <w:color w:val="000000"/>
          <w:sz w:val="20"/>
          <w:szCs w:val="20"/>
        </w:rPr>
        <w:t>two L1-RSRP measurement processe</w:t>
      </w:r>
      <w:r>
        <w:rPr>
          <w:color w:val="000000"/>
          <w:sz w:val="20"/>
          <w:szCs w:val="20"/>
        </w:rPr>
        <w:t>s</w:t>
      </w:r>
      <w:r w:rsidR="00E90EC1">
        <w:rPr>
          <w:color w:val="000000"/>
          <w:sz w:val="20"/>
          <w:szCs w:val="20"/>
        </w:rPr>
        <w:t xml:space="preserve">, </w:t>
      </w:r>
      <w:r w:rsidR="008A24DA">
        <w:rPr>
          <w:color w:val="000000"/>
          <w:sz w:val="20"/>
          <w:szCs w:val="20"/>
        </w:rPr>
        <w:t xml:space="preserve">they </w:t>
      </w:r>
      <w:r w:rsidR="008F0C79" w:rsidRPr="008F0C79">
        <w:rPr>
          <w:color w:val="000000"/>
          <w:sz w:val="20"/>
          <w:szCs w:val="20"/>
        </w:rPr>
        <w:t>are not completely independent</w:t>
      </w:r>
      <w:r w:rsidR="008A24DA">
        <w:rPr>
          <w:color w:val="000000"/>
          <w:sz w:val="20"/>
          <w:szCs w:val="20"/>
        </w:rPr>
        <w:t>.</w:t>
      </w:r>
      <w:r w:rsidR="00DD5915">
        <w:rPr>
          <w:color w:val="000000"/>
          <w:sz w:val="20"/>
          <w:szCs w:val="20"/>
        </w:rPr>
        <w:t xml:space="preserve"> The need to consider this constraint depend on the RAN4 decision to consider known case only or both known and unknown cases.</w:t>
      </w:r>
    </w:p>
    <w:p w14:paraId="4ED81EFE" w14:textId="2C44B932" w:rsidR="00AB1ED1" w:rsidRDefault="00AB1ED1" w:rsidP="00F71571">
      <w:pPr>
        <w:pStyle w:val="ListParagraph"/>
        <w:numPr>
          <w:ilvl w:val="0"/>
          <w:numId w:val="46"/>
        </w:numPr>
        <w:autoSpaceDE w:val="0"/>
        <w:autoSpaceDN w:val="0"/>
        <w:adjustRightInd w:val="0"/>
        <w:jc w:val="both"/>
        <w:rPr>
          <w:color w:val="000000"/>
          <w:sz w:val="20"/>
          <w:szCs w:val="20"/>
        </w:rPr>
      </w:pPr>
      <w:r>
        <w:rPr>
          <w:color w:val="000000"/>
          <w:sz w:val="20"/>
          <w:szCs w:val="20"/>
        </w:rPr>
        <w:t>There may be other constraints.</w:t>
      </w:r>
    </w:p>
    <w:p w14:paraId="67493CB5" w14:textId="77777777" w:rsidR="007010A5" w:rsidRDefault="007010A5" w:rsidP="00AB1ED1">
      <w:pPr>
        <w:autoSpaceDE w:val="0"/>
        <w:autoSpaceDN w:val="0"/>
        <w:adjustRightInd w:val="0"/>
        <w:jc w:val="both"/>
        <w:rPr>
          <w:color w:val="000000"/>
          <w:sz w:val="20"/>
          <w:szCs w:val="20"/>
        </w:rPr>
      </w:pPr>
    </w:p>
    <w:p w14:paraId="4C02346C" w14:textId="7063E7F9" w:rsidR="00AB1ED1" w:rsidRDefault="007010A5" w:rsidP="00AB1ED1">
      <w:pPr>
        <w:autoSpaceDE w:val="0"/>
        <w:autoSpaceDN w:val="0"/>
        <w:adjustRightInd w:val="0"/>
        <w:jc w:val="both"/>
        <w:rPr>
          <w:color w:val="000000"/>
          <w:sz w:val="20"/>
          <w:szCs w:val="20"/>
        </w:rPr>
      </w:pPr>
      <w:r>
        <w:rPr>
          <w:color w:val="000000"/>
          <w:sz w:val="20"/>
          <w:szCs w:val="20"/>
        </w:rPr>
        <w:t>T</w:t>
      </w:r>
      <w:r w:rsidR="00DD5915">
        <w:rPr>
          <w:color w:val="000000"/>
          <w:sz w:val="20"/>
          <w:szCs w:val="20"/>
        </w:rPr>
        <w:t xml:space="preserve">o address the possible interruption, we proposed an </w:t>
      </w:r>
      <w:r w:rsidR="00AB1ED1">
        <w:rPr>
          <w:color w:val="000000"/>
          <w:sz w:val="20"/>
          <w:szCs w:val="20"/>
        </w:rPr>
        <w:t xml:space="preserve">additional delay </w:t>
      </w:r>
      <w:r w:rsidR="00DD5915">
        <w:rPr>
          <w:color w:val="000000"/>
          <w:sz w:val="20"/>
          <w:szCs w:val="20"/>
        </w:rPr>
        <w:t xml:space="preserve">of 250 us (1 slot for 60kHz SCS and two slots for 120kHz SCS) </w:t>
      </w:r>
      <w:r w:rsidR="00D55AC7">
        <w:rPr>
          <w:color w:val="000000"/>
          <w:sz w:val="20"/>
          <w:szCs w:val="20"/>
        </w:rPr>
        <w:t>in the TCI switch delay</w:t>
      </w:r>
      <w:r w:rsidR="00DD5915">
        <w:rPr>
          <w:color w:val="000000"/>
          <w:sz w:val="20"/>
          <w:szCs w:val="20"/>
        </w:rPr>
        <w:t>, since the switch delay is specified in the units of slots</w:t>
      </w:r>
      <w:r w:rsidR="00D55AC7">
        <w:rPr>
          <w:color w:val="000000"/>
          <w:sz w:val="20"/>
          <w:szCs w:val="20"/>
        </w:rPr>
        <w:t>.</w:t>
      </w:r>
      <w:r w:rsidR="00B376BF">
        <w:rPr>
          <w:color w:val="000000"/>
          <w:sz w:val="20"/>
          <w:szCs w:val="20"/>
        </w:rPr>
        <w:t xml:space="preserve"> </w:t>
      </w:r>
      <w:r w:rsidR="00DD5915">
        <w:rPr>
          <w:color w:val="000000"/>
          <w:sz w:val="20"/>
          <w:szCs w:val="20"/>
        </w:rPr>
        <w:t xml:space="preserve">We acknowledge that the actual interruption is much shorter, usually in the order of several microsecond. </w:t>
      </w:r>
      <w:r w:rsidR="000E7808">
        <w:rPr>
          <w:color w:val="000000"/>
          <w:sz w:val="20"/>
          <w:szCs w:val="20"/>
        </w:rPr>
        <w:t>We can accept 120 us instead of 250 us to minimize the impact.</w:t>
      </w:r>
    </w:p>
    <w:p w14:paraId="22C048A1" w14:textId="77777777" w:rsidR="007010A5" w:rsidRDefault="007010A5" w:rsidP="00AB1ED1">
      <w:pPr>
        <w:autoSpaceDE w:val="0"/>
        <w:autoSpaceDN w:val="0"/>
        <w:adjustRightInd w:val="0"/>
        <w:jc w:val="both"/>
        <w:rPr>
          <w:color w:val="000000"/>
          <w:sz w:val="20"/>
          <w:szCs w:val="20"/>
        </w:rPr>
      </w:pPr>
    </w:p>
    <w:p w14:paraId="1D55D9F2" w14:textId="625BC6CB" w:rsidR="005042F0" w:rsidRDefault="000E7808" w:rsidP="00AB1ED1">
      <w:pPr>
        <w:autoSpaceDE w:val="0"/>
        <w:autoSpaceDN w:val="0"/>
        <w:adjustRightInd w:val="0"/>
        <w:jc w:val="both"/>
        <w:rPr>
          <w:color w:val="000000"/>
          <w:sz w:val="20"/>
          <w:szCs w:val="20"/>
        </w:rPr>
      </w:pPr>
      <w:r>
        <w:rPr>
          <w:color w:val="000000"/>
          <w:sz w:val="20"/>
          <w:szCs w:val="20"/>
        </w:rPr>
        <w:t xml:space="preserve">At the last meeting, there was discussion on the need of such a delay </w:t>
      </w:r>
      <w:r w:rsidR="005042F0">
        <w:rPr>
          <w:color w:val="000000"/>
          <w:sz w:val="20"/>
          <w:szCs w:val="20"/>
        </w:rPr>
        <w:t>in DCI based TCI switching. After further looking at the UE capability “</w:t>
      </w:r>
      <w:proofErr w:type="spellStart"/>
      <w:r w:rsidR="005042F0" w:rsidRPr="005042F0">
        <w:rPr>
          <w:color w:val="000000"/>
          <w:sz w:val="20"/>
          <w:szCs w:val="20"/>
        </w:rPr>
        <w:t>timeDurationForQCL</w:t>
      </w:r>
      <w:proofErr w:type="spellEnd"/>
      <w:r w:rsidR="005042F0">
        <w:rPr>
          <w:color w:val="000000"/>
          <w:sz w:val="20"/>
          <w:szCs w:val="20"/>
        </w:rPr>
        <w:t>,” which captures the t</w:t>
      </w:r>
      <w:r w:rsidR="005042F0" w:rsidRPr="005042F0">
        <w:rPr>
          <w:color w:val="000000"/>
          <w:sz w:val="20"/>
          <w:szCs w:val="20"/>
        </w:rPr>
        <w:t xml:space="preserve">ime duration </w:t>
      </w:r>
      <w:r w:rsidR="005042F0">
        <w:rPr>
          <w:color w:val="000000"/>
          <w:sz w:val="20"/>
          <w:szCs w:val="20"/>
        </w:rPr>
        <w:t>needed by the UE t</w:t>
      </w:r>
      <w:r w:rsidR="005042F0" w:rsidRPr="005042F0">
        <w:rPr>
          <w:color w:val="000000"/>
          <w:sz w:val="20"/>
          <w:szCs w:val="20"/>
        </w:rPr>
        <w:t>o determine and apply spatial QCL information for corresponding PDSCH reception</w:t>
      </w:r>
      <w:r w:rsidR="005042F0">
        <w:rPr>
          <w:color w:val="000000"/>
          <w:sz w:val="20"/>
          <w:szCs w:val="20"/>
        </w:rPr>
        <w:t>, we believe the additional delay can be absorbed in it</w:t>
      </w:r>
      <w:r w:rsidR="005042F0" w:rsidRPr="005042F0">
        <w:rPr>
          <w:color w:val="000000"/>
          <w:sz w:val="20"/>
          <w:szCs w:val="20"/>
        </w:rPr>
        <w:t>.</w:t>
      </w:r>
      <w:r w:rsidR="005042F0">
        <w:rPr>
          <w:color w:val="000000"/>
          <w:sz w:val="20"/>
          <w:szCs w:val="20"/>
        </w:rPr>
        <w:t xml:space="preserve"> As a result, the additional delay is only needed for MAC CE based TCI switching.</w:t>
      </w:r>
    </w:p>
    <w:p w14:paraId="716C2945" w14:textId="77777777" w:rsidR="005042F0" w:rsidRDefault="005042F0" w:rsidP="00AB1ED1">
      <w:pPr>
        <w:autoSpaceDE w:val="0"/>
        <w:autoSpaceDN w:val="0"/>
        <w:adjustRightInd w:val="0"/>
        <w:jc w:val="both"/>
        <w:rPr>
          <w:color w:val="000000"/>
          <w:sz w:val="20"/>
          <w:szCs w:val="20"/>
        </w:rPr>
      </w:pPr>
    </w:p>
    <w:p w14:paraId="65A31D4A" w14:textId="240C3847" w:rsidR="007010A5" w:rsidRPr="00AB1ED1" w:rsidRDefault="00067FD6" w:rsidP="00AB1ED1">
      <w:pPr>
        <w:autoSpaceDE w:val="0"/>
        <w:autoSpaceDN w:val="0"/>
        <w:adjustRightInd w:val="0"/>
        <w:jc w:val="both"/>
        <w:rPr>
          <w:color w:val="000000"/>
          <w:sz w:val="20"/>
          <w:szCs w:val="20"/>
        </w:rPr>
      </w:pPr>
      <w:r>
        <w:rPr>
          <w:color w:val="000000"/>
          <w:sz w:val="20"/>
          <w:szCs w:val="20"/>
        </w:rPr>
        <w:t>We also understand</w:t>
      </w:r>
      <w:r w:rsidR="007010A5">
        <w:rPr>
          <w:color w:val="000000"/>
          <w:sz w:val="20"/>
          <w:szCs w:val="20"/>
        </w:rPr>
        <w:t xml:space="preserve"> if there is such a design constrain, it would great affect UE performance, considering a UE may need to change panels when it rotates or changes its orientation towards a TRP. To ensure good UE performance, such a constraint should be avoided in design/implementation. </w:t>
      </w:r>
    </w:p>
    <w:p w14:paraId="0CB405FC" w14:textId="77777777" w:rsidR="00A97E81" w:rsidRDefault="00A97E81" w:rsidP="00A41D34">
      <w:pPr>
        <w:autoSpaceDE w:val="0"/>
        <w:autoSpaceDN w:val="0"/>
        <w:adjustRightInd w:val="0"/>
        <w:jc w:val="both"/>
        <w:rPr>
          <w:color w:val="000000"/>
          <w:sz w:val="20"/>
          <w:szCs w:val="20"/>
        </w:rPr>
      </w:pPr>
    </w:p>
    <w:p w14:paraId="018E3C6E" w14:textId="78D24CE4" w:rsidR="00765D33" w:rsidRDefault="007010A5" w:rsidP="00F60D0A">
      <w:pPr>
        <w:autoSpaceDE w:val="0"/>
        <w:autoSpaceDN w:val="0"/>
        <w:adjustRightInd w:val="0"/>
        <w:jc w:val="both"/>
        <w:rPr>
          <w:color w:val="000000"/>
          <w:sz w:val="20"/>
          <w:szCs w:val="20"/>
        </w:rPr>
      </w:pPr>
      <w:r>
        <w:rPr>
          <w:color w:val="000000"/>
          <w:sz w:val="20"/>
          <w:szCs w:val="20"/>
        </w:rPr>
        <w:t xml:space="preserve">Therefore, it is reasonable to address this issue by UE capability. By default, </w:t>
      </w:r>
      <w:r w:rsidR="00765D33">
        <w:rPr>
          <w:color w:val="000000"/>
          <w:sz w:val="20"/>
          <w:szCs w:val="20"/>
        </w:rPr>
        <w:t>a</w:t>
      </w:r>
      <w:r>
        <w:rPr>
          <w:color w:val="000000"/>
          <w:sz w:val="20"/>
          <w:szCs w:val="20"/>
        </w:rPr>
        <w:t xml:space="preserve"> UE should support dual TCI state switching without the additional delay</w:t>
      </w:r>
      <w:r w:rsidR="00765D33">
        <w:rPr>
          <w:color w:val="000000"/>
          <w:sz w:val="20"/>
          <w:szCs w:val="20"/>
        </w:rPr>
        <w:t>.</w:t>
      </w:r>
    </w:p>
    <w:p w14:paraId="4B2339D0" w14:textId="77777777" w:rsidR="00F60D0A" w:rsidRPr="00F60D0A" w:rsidRDefault="00F60D0A" w:rsidP="00F60D0A">
      <w:pPr>
        <w:autoSpaceDE w:val="0"/>
        <w:autoSpaceDN w:val="0"/>
        <w:adjustRightInd w:val="0"/>
        <w:jc w:val="both"/>
        <w:rPr>
          <w:color w:val="000000"/>
          <w:sz w:val="20"/>
          <w:szCs w:val="20"/>
        </w:rPr>
      </w:pPr>
    </w:p>
    <w:p w14:paraId="0E47437F" w14:textId="39AFE597" w:rsidR="00724E0C" w:rsidRPr="00724E0C" w:rsidRDefault="00AB1ED1" w:rsidP="00724E0C">
      <w:pPr>
        <w:spacing w:before="100" w:beforeAutospacing="1" w:after="100"/>
        <w:rPr>
          <w:b/>
          <w:bCs/>
          <w:i/>
          <w:iCs/>
          <w:sz w:val="20"/>
          <w:szCs w:val="20"/>
        </w:rPr>
      </w:pPr>
      <w:r>
        <w:rPr>
          <w:b/>
          <w:bCs/>
          <w:i/>
          <w:iCs/>
          <w:sz w:val="20"/>
          <w:szCs w:val="20"/>
        </w:rPr>
        <w:lastRenderedPageBreak/>
        <w:t xml:space="preserve">Proposal </w:t>
      </w:r>
      <w:r w:rsidR="00B376BF">
        <w:rPr>
          <w:b/>
          <w:bCs/>
          <w:i/>
          <w:iCs/>
          <w:sz w:val="20"/>
          <w:szCs w:val="20"/>
        </w:rPr>
        <w:t>1</w:t>
      </w:r>
      <w:r w:rsidR="00092DEA" w:rsidRPr="004E0E90">
        <w:rPr>
          <w:b/>
          <w:bCs/>
          <w:i/>
          <w:iCs/>
          <w:sz w:val="20"/>
          <w:szCs w:val="20"/>
        </w:rPr>
        <w:t xml:space="preserve">: </w:t>
      </w:r>
      <w:r w:rsidR="00765D33">
        <w:rPr>
          <w:b/>
          <w:bCs/>
          <w:i/>
          <w:iCs/>
          <w:sz w:val="20"/>
          <w:szCs w:val="20"/>
        </w:rPr>
        <w:t xml:space="preserve">It is proposed to </w:t>
      </w:r>
      <w:r w:rsidR="00765D33" w:rsidRPr="00765D33">
        <w:rPr>
          <w:b/>
          <w:bCs/>
          <w:i/>
          <w:iCs/>
          <w:sz w:val="20"/>
          <w:szCs w:val="20"/>
        </w:rPr>
        <w:t>address th</w:t>
      </w:r>
      <w:r w:rsidR="00765D33">
        <w:rPr>
          <w:b/>
          <w:bCs/>
          <w:i/>
          <w:iCs/>
          <w:sz w:val="20"/>
          <w:szCs w:val="20"/>
        </w:rPr>
        <w:t>e</w:t>
      </w:r>
      <w:r w:rsidR="00765D33" w:rsidRPr="00765D33">
        <w:rPr>
          <w:b/>
          <w:bCs/>
          <w:i/>
          <w:iCs/>
          <w:sz w:val="20"/>
          <w:szCs w:val="20"/>
        </w:rPr>
        <w:t xml:space="preserve"> issue </w:t>
      </w:r>
      <w:r w:rsidR="00765D33">
        <w:rPr>
          <w:b/>
          <w:bCs/>
          <w:i/>
          <w:iCs/>
          <w:sz w:val="20"/>
          <w:szCs w:val="20"/>
        </w:rPr>
        <w:t xml:space="preserve">of whether additional delay </w:t>
      </w:r>
      <w:r w:rsidR="00067FD6">
        <w:rPr>
          <w:b/>
          <w:bCs/>
          <w:i/>
          <w:iCs/>
          <w:sz w:val="20"/>
          <w:szCs w:val="20"/>
        </w:rPr>
        <w:t xml:space="preserve">in MAC CE based TCI state switching </w:t>
      </w:r>
      <w:r w:rsidR="00765D33">
        <w:rPr>
          <w:b/>
          <w:bCs/>
          <w:i/>
          <w:iCs/>
          <w:sz w:val="20"/>
          <w:szCs w:val="20"/>
        </w:rPr>
        <w:t xml:space="preserve">is needed </w:t>
      </w:r>
      <w:r w:rsidR="00765D33" w:rsidRPr="00765D33">
        <w:rPr>
          <w:b/>
          <w:bCs/>
          <w:i/>
          <w:iCs/>
          <w:sz w:val="20"/>
          <w:szCs w:val="20"/>
        </w:rPr>
        <w:t xml:space="preserve">by UE capability. By default, </w:t>
      </w:r>
      <w:r w:rsidR="00765D33">
        <w:rPr>
          <w:b/>
          <w:bCs/>
          <w:i/>
          <w:iCs/>
          <w:sz w:val="20"/>
          <w:szCs w:val="20"/>
        </w:rPr>
        <w:t>a</w:t>
      </w:r>
      <w:r w:rsidR="00765D33" w:rsidRPr="00765D33">
        <w:rPr>
          <w:b/>
          <w:bCs/>
          <w:i/>
          <w:iCs/>
          <w:sz w:val="20"/>
          <w:szCs w:val="20"/>
        </w:rPr>
        <w:t xml:space="preserve"> UE should support </w:t>
      </w:r>
      <w:r w:rsidR="00067FD6">
        <w:rPr>
          <w:b/>
          <w:bCs/>
          <w:i/>
          <w:iCs/>
          <w:sz w:val="20"/>
          <w:szCs w:val="20"/>
        </w:rPr>
        <w:t xml:space="preserve">MAC CE based </w:t>
      </w:r>
      <w:r w:rsidR="00765D33" w:rsidRPr="00765D33">
        <w:rPr>
          <w:b/>
          <w:bCs/>
          <w:i/>
          <w:iCs/>
          <w:sz w:val="20"/>
          <w:szCs w:val="20"/>
        </w:rPr>
        <w:t>dual TCI state switching without the additional delay.</w:t>
      </w:r>
    </w:p>
    <w:p w14:paraId="0A50BEA5" w14:textId="33CC9C4F" w:rsidR="00B570A9" w:rsidRDefault="00B570A9" w:rsidP="00B570A9">
      <w:pPr>
        <w:pStyle w:val="Heading2"/>
      </w:pPr>
      <w:r>
        <w:t>2.</w:t>
      </w:r>
      <w:r w:rsidR="00641C23">
        <w:t>2</w:t>
      </w:r>
      <w:r>
        <w:t xml:space="preserve"> </w:t>
      </w:r>
      <w:r w:rsidRPr="004B0A95">
        <w:t>Active TCI state list update</w:t>
      </w:r>
    </w:p>
    <w:p w14:paraId="56AE7E5B" w14:textId="62650E2D" w:rsidR="00B570A9" w:rsidRDefault="00B570A9" w:rsidP="00B570A9">
      <w:pPr>
        <w:rPr>
          <w:color w:val="000000"/>
          <w:sz w:val="20"/>
          <w:szCs w:val="20"/>
          <w:lang w:val="en-GB"/>
        </w:rPr>
      </w:pPr>
      <w:r>
        <w:rPr>
          <w:color w:val="000000"/>
          <w:sz w:val="20"/>
          <w:szCs w:val="20"/>
          <w:lang w:val="en-GB"/>
        </w:rPr>
        <w:t xml:space="preserve">In the WF [1], there </w:t>
      </w:r>
      <w:r w:rsidR="00221FE4">
        <w:rPr>
          <w:color w:val="000000"/>
          <w:sz w:val="20"/>
          <w:szCs w:val="20"/>
          <w:lang w:val="en-GB"/>
        </w:rPr>
        <w:t>is an open issue</w:t>
      </w:r>
      <w:r>
        <w:rPr>
          <w:color w:val="000000"/>
          <w:sz w:val="20"/>
          <w:szCs w:val="20"/>
          <w:lang w:val="en-GB"/>
        </w:rPr>
        <w:t>:</w:t>
      </w:r>
    </w:p>
    <w:p w14:paraId="7F324EA8" w14:textId="77777777" w:rsidR="00B570A9" w:rsidRDefault="00B570A9" w:rsidP="00B570A9">
      <w:pPr>
        <w:rPr>
          <w:color w:val="000000"/>
          <w:sz w:val="20"/>
          <w:szCs w:val="20"/>
          <w:lang w:val="en-GB"/>
        </w:rPr>
      </w:pPr>
    </w:p>
    <w:p w14:paraId="59DDAE09" w14:textId="360C2C5F" w:rsidR="00221FE4" w:rsidRPr="00221FE4" w:rsidRDefault="00221FE4" w:rsidP="00221FE4">
      <w:pPr>
        <w:rPr>
          <w:b/>
          <w:sz w:val="20"/>
          <w:szCs w:val="20"/>
          <w:u w:val="single"/>
          <w:lang w:eastAsia="ko-KR"/>
        </w:rPr>
      </w:pPr>
      <w:r w:rsidRPr="00221FE4">
        <w:rPr>
          <w:b/>
          <w:sz w:val="20"/>
          <w:szCs w:val="20"/>
          <w:u w:val="single"/>
          <w:lang w:eastAsia="ko-KR"/>
        </w:rPr>
        <w:t>Issue 2-6-1: Active TCI state list update delay requirement</w:t>
      </w:r>
    </w:p>
    <w:p w14:paraId="286A84D5" w14:textId="77777777" w:rsidR="00221FE4" w:rsidRPr="00221FE4" w:rsidRDefault="00221FE4" w:rsidP="00221FE4">
      <w:pPr>
        <w:spacing w:after="120"/>
        <w:rPr>
          <w:bCs/>
          <w:sz w:val="20"/>
          <w:szCs w:val="20"/>
        </w:rPr>
      </w:pPr>
      <w:r w:rsidRPr="00221FE4">
        <w:rPr>
          <w:bCs/>
          <w:sz w:val="20"/>
          <w:szCs w:val="20"/>
        </w:rPr>
        <w:t>Agreement:</w:t>
      </w:r>
    </w:p>
    <w:p w14:paraId="1976B8FF" w14:textId="77777777" w:rsidR="00221FE4" w:rsidRPr="00221FE4" w:rsidRDefault="00221FE4" w:rsidP="00221FE4">
      <w:pPr>
        <w:pStyle w:val="ListParagraph"/>
        <w:numPr>
          <w:ilvl w:val="1"/>
          <w:numId w:val="51"/>
        </w:numPr>
        <w:autoSpaceDN w:val="0"/>
        <w:adjustRightInd w:val="0"/>
        <w:spacing w:after="120" w:line="252" w:lineRule="auto"/>
        <w:contextualSpacing w:val="0"/>
        <w:rPr>
          <w:sz w:val="20"/>
          <w:szCs w:val="20"/>
        </w:rPr>
      </w:pPr>
      <w:r w:rsidRPr="00221FE4">
        <w:rPr>
          <w:sz w:val="20"/>
          <w:szCs w:val="20"/>
        </w:rPr>
        <w:t xml:space="preserve">For s-DCI case, </w:t>
      </w:r>
    </w:p>
    <w:p w14:paraId="7AA3CB66" w14:textId="77777777" w:rsidR="00221FE4" w:rsidRPr="00221FE4" w:rsidRDefault="00221FE4" w:rsidP="00221FE4">
      <w:pPr>
        <w:pStyle w:val="ListParagraph"/>
        <w:numPr>
          <w:ilvl w:val="2"/>
          <w:numId w:val="51"/>
        </w:numPr>
        <w:autoSpaceDN w:val="0"/>
        <w:adjustRightInd w:val="0"/>
        <w:spacing w:after="120" w:line="252" w:lineRule="auto"/>
        <w:contextualSpacing w:val="0"/>
        <w:rPr>
          <w:sz w:val="20"/>
          <w:szCs w:val="20"/>
        </w:rPr>
      </w:pPr>
      <w:r w:rsidRPr="00221FE4">
        <w:rPr>
          <w:sz w:val="20"/>
          <w:szCs w:val="20"/>
        </w:rPr>
        <w:t>The existing requirement for active TCI state list update can be reused with the update to T/F tracking.</w:t>
      </w:r>
    </w:p>
    <w:p w14:paraId="78BF142B" w14:textId="77777777" w:rsidR="00221FE4" w:rsidRPr="00221FE4" w:rsidRDefault="00221FE4" w:rsidP="00221FE4">
      <w:pPr>
        <w:pStyle w:val="ListParagraph"/>
        <w:numPr>
          <w:ilvl w:val="1"/>
          <w:numId w:val="51"/>
        </w:numPr>
        <w:autoSpaceDN w:val="0"/>
        <w:adjustRightInd w:val="0"/>
        <w:spacing w:after="120" w:line="252" w:lineRule="auto"/>
        <w:contextualSpacing w:val="0"/>
        <w:rPr>
          <w:sz w:val="20"/>
          <w:szCs w:val="20"/>
        </w:rPr>
      </w:pPr>
      <w:r w:rsidRPr="00221FE4">
        <w:rPr>
          <w:sz w:val="20"/>
          <w:szCs w:val="20"/>
        </w:rPr>
        <w:t xml:space="preserve">For m-DCI case, </w:t>
      </w:r>
    </w:p>
    <w:p w14:paraId="5575A916" w14:textId="77777777" w:rsidR="00221FE4" w:rsidRPr="00221FE4" w:rsidRDefault="00221FE4" w:rsidP="00221FE4">
      <w:pPr>
        <w:pStyle w:val="ListParagraph"/>
        <w:numPr>
          <w:ilvl w:val="2"/>
          <w:numId w:val="51"/>
        </w:numPr>
        <w:autoSpaceDN w:val="0"/>
        <w:adjustRightInd w:val="0"/>
        <w:spacing w:after="120" w:line="252" w:lineRule="auto"/>
        <w:contextualSpacing w:val="0"/>
        <w:rPr>
          <w:sz w:val="20"/>
          <w:szCs w:val="20"/>
        </w:rPr>
      </w:pPr>
      <w:r w:rsidRPr="00221FE4">
        <w:rPr>
          <w:rFonts w:hint="eastAsia"/>
          <w:sz w:val="20"/>
          <w:szCs w:val="20"/>
        </w:rPr>
        <w:t>FFS</w:t>
      </w:r>
      <w:r w:rsidRPr="00221FE4">
        <w:rPr>
          <w:sz w:val="20"/>
          <w:szCs w:val="20"/>
        </w:rPr>
        <w:t>: The existing requirement for active TCI state list update can be reused with the update that it is for each TRP.</w:t>
      </w:r>
    </w:p>
    <w:p w14:paraId="5D1C957C" w14:textId="77777777" w:rsidR="00B570A9" w:rsidRPr="009D55F3" w:rsidRDefault="00B570A9" w:rsidP="00B570A9">
      <w:pPr>
        <w:rPr>
          <w:color w:val="000000"/>
          <w:sz w:val="20"/>
          <w:szCs w:val="20"/>
        </w:rPr>
      </w:pPr>
    </w:p>
    <w:p w14:paraId="7B99335C" w14:textId="733CCB37" w:rsidR="00641C23" w:rsidRPr="00641C23" w:rsidRDefault="00641C23" w:rsidP="00641C23">
      <w:pPr>
        <w:rPr>
          <w:color w:val="000000"/>
          <w:sz w:val="20"/>
          <w:szCs w:val="20"/>
          <w:lang w:val="en-GB"/>
        </w:rPr>
      </w:pPr>
      <w:r>
        <w:rPr>
          <w:color w:val="000000"/>
          <w:sz w:val="20"/>
          <w:szCs w:val="20"/>
          <w:lang w:val="en-GB"/>
        </w:rPr>
        <w:t xml:space="preserve">The reason it is FFS for </w:t>
      </w:r>
      <w:proofErr w:type="spellStart"/>
      <w:r>
        <w:rPr>
          <w:color w:val="000000"/>
          <w:sz w:val="20"/>
          <w:szCs w:val="20"/>
          <w:lang w:val="en-GB"/>
        </w:rPr>
        <w:t>mDCI</w:t>
      </w:r>
      <w:proofErr w:type="spellEnd"/>
      <w:r>
        <w:rPr>
          <w:color w:val="000000"/>
          <w:sz w:val="20"/>
          <w:szCs w:val="20"/>
          <w:lang w:val="en-GB"/>
        </w:rPr>
        <w:t xml:space="preserve"> case is the need to consider a special case in which </w:t>
      </w:r>
      <w:r w:rsidRPr="00641C23">
        <w:rPr>
          <w:color w:val="000000"/>
          <w:sz w:val="20"/>
          <w:szCs w:val="20"/>
          <w:lang w:val="en-GB"/>
        </w:rPr>
        <w:t xml:space="preserve">there is only one TCI state in the </w:t>
      </w:r>
      <w:r>
        <w:rPr>
          <w:color w:val="000000"/>
          <w:sz w:val="20"/>
          <w:szCs w:val="20"/>
          <w:lang w:val="en-GB"/>
        </w:rPr>
        <w:t xml:space="preserve">updated </w:t>
      </w:r>
      <w:r w:rsidRPr="00641C23">
        <w:rPr>
          <w:color w:val="000000"/>
          <w:sz w:val="20"/>
          <w:szCs w:val="20"/>
          <w:lang w:val="en-GB"/>
        </w:rPr>
        <w:t>list</w:t>
      </w:r>
      <w:r>
        <w:rPr>
          <w:color w:val="000000"/>
          <w:sz w:val="20"/>
          <w:szCs w:val="20"/>
          <w:lang w:val="en-GB"/>
        </w:rPr>
        <w:t xml:space="preserve"> for each TRP (or </w:t>
      </w:r>
      <w:proofErr w:type="spellStart"/>
      <w:r>
        <w:rPr>
          <w:color w:val="000000"/>
          <w:sz w:val="20"/>
          <w:szCs w:val="20"/>
          <w:lang w:val="en-GB"/>
        </w:rPr>
        <w:t>coresetPoolIndex</w:t>
      </w:r>
      <w:proofErr w:type="spellEnd"/>
      <w:r>
        <w:rPr>
          <w:color w:val="000000"/>
          <w:sz w:val="20"/>
          <w:szCs w:val="20"/>
          <w:lang w:val="en-GB"/>
        </w:rPr>
        <w:t>)</w:t>
      </w:r>
      <w:r w:rsidRPr="00641C23">
        <w:rPr>
          <w:color w:val="000000"/>
          <w:sz w:val="20"/>
          <w:szCs w:val="20"/>
          <w:lang w:val="en-GB"/>
        </w:rPr>
        <w:t>.</w:t>
      </w:r>
      <w:r w:rsidR="00B909C3">
        <w:rPr>
          <w:color w:val="000000"/>
          <w:sz w:val="20"/>
          <w:szCs w:val="20"/>
          <w:lang w:val="en-GB"/>
        </w:rPr>
        <w:t xml:space="preserve"> In this case, the sole</w:t>
      </w:r>
      <w:r w:rsidRPr="00641C23">
        <w:rPr>
          <w:color w:val="000000"/>
          <w:sz w:val="20"/>
          <w:szCs w:val="20"/>
          <w:lang w:val="en-GB"/>
        </w:rPr>
        <w:t xml:space="preserve"> TCI state </w:t>
      </w:r>
      <w:r w:rsidR="00D30938">
        <w:rPr>
          <w:color w:val="000000"/>
          <w:sz w:val="20"/>
          <w:szCs w:val="20"/>
          <w:lang w:val="en-GB"/>
        </w:rPr>
        <w:t xml:space="preserve">in each list </w:t>
      </w:r>
      <w:r w:rsidRPr="00641C23">
        <w:rPr>
          <w:color w:val="000000"/>
          <w:sz w:val="20"/>
          <w:szCs w:val="20"/>
          <w:lang w:val="en-GB"/>
        </w:rPr>
        <w:t xml:space="preserve">will be </w:t>
      </w:r>
      <w:r w:rsidR="00D30938">
        <w:rPr>
          <w:color w:val="000000"/>
          <w:sz w:val="20"/>
          <w:szCs w:val="20"/>
          <w:lang w:val="en-GB"/>
        </w:rPr>
        <w:t xml:space="preserve">activated </w:t>
      </w:r>
      <w:r w:rsidR="0085115B">
        <w:rPr>
          <w:color w:val="000000"/>
          <w:sz w:val="20"/>
          <w:szCs w:val="20"/>
          <w:lang w:val="en-GB"/>
        </w:rPr>
        <w:t xml:space="preserve">for </w:t>
      </w:r>
      <w:r w:rsidRPr="00641C23">
        <w:rPr>
          <w:color w:val="000000"/>
          <w:sz w:val="20"/>
          <w:szCs w:val="20"/>
          <w:lang w:val="en-GB"/>
        </w:rPr>
        <w:t>PDSCH without further DCI indication.</w:t>
      </w:r>
      <w:r w:rsidR="00B909C3">
        <w:rPr>
          <w:color w:val="000000"/>
          <w:sz w:val="20"/>
          <w:szCs w:val="20"/>
          <w:lang w:val="en-GB"/>
        </w:rPr>
        <w:t xml:space="preserve"> </w:t>
      </w:r>
      <w:r w:rsidR="0085115B">
        <w:rPr>
          <w:color w:val="000000"/>
          <w:sz w:val="20"/>
          <w:szCs w:val="20"/>
          <w:lang w:val="en-GB"/>
        </w:rPr>
        <w:t xml:space="preserve">In this case, the UE </w:t>
      </w:r>
      <w:proofErr w:type="spellStart"/>
      <w:r w:rsidR="0085115B">
        <w:rPr>
          <w:color w:val="000000"/>
          <w:sz w:val="20"/>
          <w:szCs w:val="20"/>
          <w:lang w:val="en-GB"/>
        </w:rPr>
        <w:t>behavior</w:t>
      </w:r>
      <w:proofErr w:type="spellEnd"/>
      <w:r w:rsidR="0085115B">
        <w:rPr>
          <w:color w:val="000000"/>
          <w:sz w:val="20"/>
          <w:szCs w:val="20"/>
          <w:lang w:val="en-GB"/>
        </w:rPr>
        <w:t xml:space="preserve"> is unclear or unspecified. </w:t>
      </w:r>
    </w:p>
    <w:p w14:paraId="3F544682" w14:textId="77777777" w:rsidR="00641C23" w:rsidRPr="00641C23" w:rsidRDefault="00641C23" w:rsidP="00641C23">
      <w:pPr>
        <w:rPr>
          <w:color w:val="000000"/>
          <w:sz w:val="20"/>
          <w:szCs w:val="20"/>
          <w:lang w:val="en-GB"/>
        </w:rPr>
      </w:pPr>
    </w:p>
    <w:p w14:paraId="16388EF2" w14:textId="428746CC" w:rsidR="00BE6C3F" w:rsidRDefault="0085115B" w:rsidP="00641C23">
      <w:pPr>
        <w:rPr>
          <w:rFonts w:eastAsia="Malgun Gothic"/>
          <w:sz w:val="20"/>
          <w:szCs w:val="20"/>
        </w:rPr>
      </w:pPr>
      <w:r>
        <w:rPr>
          <w:color w:val="000000"/>
          <w:sz w:val="20"/>
          <w:szCs w:val="20"/>
          <w:lang w:val="en-GB"/>
        </w:rPr>
        <w:t xml:space="preserve">We agree that it may be beneficial to clarify the UE </w:t>
      </w:r>
      <w:proofErr w:type="spellStart"/>
      <w:r>
        <w:rPr>
          <w:color w:val="000000"/>
          <w:sz w:val="20"/>
          <w:szCs w:val="20"/>
          <w:lang w:val="en-GB"/>
        </w:rPr>
        <w:t>behavior</w:t>
      </w:r>
      <w:proofErr w:type="spellEnd"/>
      <w:r>
        <w:rPr>
          <w:color w:val="000000"/>
          <w:sz w:val="20"/>
          <w:szCs w:val="20"/>
          <w:lang w:val="en-GB"/>
        </w:rPr>
        <w:t xml:space="preserve">. However, since the current </w:t>
      </w:r>
      <w:r w:rsidR="00BE6C3F">
        <w:rPr>
          <w:color w:val="000000"/>
          <w:sz w:val="20"/>
          <w:szCs w:val="20"/>
          <w:lang w:val="en-GB"/>
        </w:rPr>
        <w:t>a</w:t>
      </w:r>
      <w:r w:rsidR="00BE6C3F" w:rsidRPr="00BE6C3F">
        <w:rPr>
          <w:color w:val="000000"/>
          <w:sz w:val="20"/>
          <w:szCs w:val="20"/>
          <w:lang w:val="en-GB"/>
        </w:rPr>
        <w:t>ctive TCI state list update delay</w:t>
      </w:r>
      <w:r w:rsidR="00BE6C3F">
        <w:rPr>
          <w:color w:val="000000"/>
          <w:sz w:val="20"/>
          <w:szCs w:val="20"/>
          <w:lang w:val="en-GB"/>
        </w:rPr>
        <w:t xml:space="preserve"> requirement is defined from the time instant of </w:t>
      </w:r>
      <w:r w:rsidR="00BE6C3F" w:rsidRPr="00BE6C3F">
        <w:rPr>
          <w:color w:val="000000"/>
          <w:sz w:val="20"/>
          <w:szCs w:val="20"/>
          <w:lang w:val="en-GB"/>
        </w:rPr>
        <w:t>receiving PDSCH carrying MAC-CE active TCI state list update from a TRP at slot n</w:t>
      </w:r>
      <w:r w:rsidR="00BE6C3F">
        <w:rPr>
          <w:color w:val="000000"/>
          <w:sz w:val="20"/>
          <w:szCs w:val="20"/>
          <w:lang w:val="en-GB"/>
        </w:rPr>
        <w:t xml:space="preserve"> to when the </w:t>
      </w:r>
      <w:r w:rsidR="00BE6C3F" w:rsidRPr="00BE6C3F">
        <w:rPr>
          <w:color w:val="000000"/>
          <w:sz w:val="20"/>
          <w:szCs w:val="20"/>
          <w:lang w:val="en-GB"/>
        </w:rPr>
        <w:t>UE shall be able to receive PDCCH</w:t>
      </w:r>
      <w:r w:rsidR="00BE6C3F">
        <w:rPr>
          <w:color w:val="000000"/>
          <w:sz w:val="20"/>
          <w:szCs w:val="20"/>
          <w:lang w:val="en-GB"/>
        </w:rPr>
        <w:t xml:space="preserve">, including MAC-CE decoding time and if applicable, the time for T/F tracking for the newly activated TCI states for PDSCH, i.e., </w:t>
      </w:r>
      <w:proofErr w:type="spellStart"/>
      <w:r w:rsidR="00BE6C3F" w:rsidRPr="00BE6C3F">
        <w:rPr>
          <w:rFonts w:eastAsia="Malgun Gothic"/>
          <w:sz w:val="20"/>
          <w:szCs w:val="20"/>
        </w:rPr>
        <w:t>TO</w:t>
      </w:r>
      <w:r w:rsidR="00BE6C3F" w:rsidRPr="00BE6C3F">
        <w:rPr>
          <w:rFonts w:eastAsia="Malgun Gothic"/>
          <w:sz w:val="20"/>
          <w:szCs w:val="20"/>
          <w:vertAlign w:val="subscript"/>
        </w:rPr>
        <w:t>k</w:t>
      </w:r>
      <w:proofErr w:type="spellEnd"/>
      <w:r w:rsidR="00BE6C3F" w:rsidRPr="00BE6C3F">
        <w:rPr>
          <w:rFonts w:eastAsia="Malgun Gothic"/>
          <w:sz w:val="20"/>
          <w:szCs w:val="20"/>
        </w:rPr>
        <w:t>*(</w:t>
      </w:r>
      <w:proofErr w:type="spellStart"/>
      <w:r w:rsidR="00BE6C3F" w:rsidRPr="00BE6C3F">
        <w:rPr>
          <w:rFonts w:eastAsia="Malgun Gothic"/>
          <w:sz w:val="20"/>
          <w:szCs w:val="20"/>
        </w:rPr>
        <w:t>T</w:t>
      </w:r>
      <w:r w:rsidR="00BE6C3F" w:rsidRPr="00BE6C3F">
        <w:rPr>
          <w:rFonts w:eastAsia="Malgun Gothic"/>
          <w:sz w:val="20"/>
          <w:szCs w:val="20"/>
          <w:vertAlign w:val="subscript"/>
        </w:rPr>
        <w:t>first</w:t>
      </w:r>
      <w:proofErr w:type="spellEnd"/>
      <w:r w:rsidR="00BE6C3F" w:rsidRPr="00BE6C3F">
        <w:rPr>
          <w:rFonts w:eastAsia="Malgun Gothic"/>
          <w:sz w:val="20"/>
          <w:szCs w:val="20"/>
          <w:vertAlign w:val="subscript"/>
        </w:rPr>
        <w:t xml:space="preserve">-SSB </w:t>
      </w:r>
      <w:r w:rsidR="00BE6C3F" w:rsidRPr="00BE6C3F">
        <w:rPr>
          <w:rFonts w:eastAsia="Malgun Gothic"/>
          <w:sz w:val="20"/>
          <w:szCs w:val="20"/>
        </w:rPr>
        <w:t>+ T</w:t>
      </w:r>
      <w:r w:rsidR="00BE6C3F" w:rsidRPr="00BE6C3F">
        <w:rPr>
          <w:rFonts w:eastAsia="Malgun Gothic"/>
          <w:sz w:val="20"/>
          <w:szCs w:val="20"/>
          <w:vertAlign w:val="subscript"/>
        </w:rPr>
        <w:t>SSB-proc</w:t>
      </w:r>
      <w:r w:rsidR="00BE6C3F" w:rsidRPr="00BE6C3F">
        <w:rPr>
          <w:rFonts w:eastAsia="Malgun Gothic"/>
          <w:sz w:val="20"/>
          <w:szCs w:val="20"/>
        </w:rPr>
        <w:t>)</w:t>
      </w:r>
      <w:r w:rsidR="00BE6C3F">
        <w:rPr>
          <w:rFonts w:eastAsia="Malgun Gothic"/>
          <w:sz w:val="20"/>
          <w:szCs w:val="20"/>
        </w:rPr>
        <w:t>, the current requirement needs no revision</w:t>
      </w:r>
      <w:r w:rsidR="00CF768E">
        <w:rPr>
          <w:rFonts w:eastAsia="Malgun Gothic"/>
          <w:sz w:val="20"/>
          <w:szCs w:val="20"/>
        </w:rPr>
        <w:t xml:space="preserve">. What needs to be clarified is it is unclear if the UE can </w:t>
      </w:r>
      <w:r w:rsidR="00B64AF6">
        <w:rPr>
          <w:rFonts w:eastAsia="Malgun Gothic"/>
          <w:sz w:val="20"/>
          <w:szCs w:val="20"/>
        </w:rPr>
        <w:t>receive</w:t>
      </w:r>
      <w:r w:rsidR="00CF768E">
        <w:rPr>
          <w:rFonts w:eastAsia="Malgun Gothic"/>
          <w:sz w:val="20"/>
          <w:szCs w:val="20"/>
        </w:rPr>
        <w:t xml:space="preserve"> one PDCCH and one PDSCH at the same time in case both are scheduled by the network. </w:t>
      </w:r>
      <w:r w:rsidR="00B64AF6">
        <w:rPr>
          <w:rFonts w:eastAsia="Malgun Gothic"/>
          <w:sz w:val="20"/>
          <w:szCs w:val="20"/>
        </w:rPr>
        <w:t xml:space="preserve">We propose </w:t>
      </w:r>
      <w:proofErr w:type="gramStart"/>
      <w:r w:rsidR="00B64AF6">
        <w:rPr>
          <w:rFonts w:eastAsia="Malgun Gothic"/>
          <w:sz w:val="20"/>
          <w:szCs w:val="20"/>
        </w:rPr>
        <w:t xml:space="preserve">to </w:t>
      </w:r>
      <w:r w:rsidR="00CF768E">
        <w:rPr>
          <w:rFonts w:eastAsia="Malgun Gothic"/>
          <w:sz w:val="20"/>
          <w:szCs w:val="20"/>
        </w:rPr>
        <w:t xml:space="preserve"> </w:t>
      </w:r>
      <w:r w:rsidR="00B64AF6">
        <w:rPr>
          <w:rFonts w:eastAsia="Malgun Gothic"/>
          <w:sz w:val="20"/>
          <w:szCs w:val="20"/>
        </w:rPr>
        <w:t>add</w:t>
      </w:r>
      <w:proofErr w:type="gramEnd"/>
      <w:r w:rsidR="00B64AF6">
        <w:rPr>
          <w:rFonts w:eastAsia="Malgun Gothic"/>
          <w:sz w:val="20"/>
          <w:szCs w:val="20"/>
        </w:rPr>
        <w:t xml:space="preserve"> some clarification to the specification as follows.</w:t>
      </w:r>
      <w:r w:rsidR="00F32452">
        <w:rPr>
          <w:rFonts w:eastAsia="Malgun Gothic"/>
          <w:sz w:val="20"/>
          <w:szCs w:val="20"/>
        </w:rPr>
        <w:t xml:space="preserve"> </w:t>
      </w:r>
    </w:p>
    <w:p w14:paraId="41389E61" w14:textId="77777777" w:rsidR="00F32452" w:rsidRDefault="00F32452" w:rsidP="00641C23">
      <w:pPr>
        <w:rPr>
          <w:rFonts w:eastAsia="Malgun Gothic"/>
          <w:sz w:val="20"/>
          <w:szCs w:val="20"/>
        </w:rPr>
      </w:pPr>
    </w:p>
    <w:p w14:paraId="64FFA088" w14:textId="10352003" w:rsidR="00AF0E51" w:rsidRPr="00B64AF6" w:rsidRDefault="00B64AF6" w:rsidP="00B64AF6">
      <w:pPr>
        <w:spacing w:before="100" w:beforeAutospacing="1" w:after="100"/>
        <w:rPr>
          <w:b/>
          <w:bCs/>
          <w:i/>
          <w:iCs/>
          <w:sz w:val="20"/>
          <w:szCs w:val="20"/>
        </w:rPr>
      </w:pPr>
      <w:r>
        <w:rPr>
          <w:b/>
          <w:bCs/>
          <w:i/>
          <w:iCs/>
          <w:sz w:val="20"/>
          <w:szCs w:val="20"/>
        </w:rPr>
        <w:t>Proposal 2</w:t>
      </w:r>
      <w:r w:rsidRPr="004E0E90">
        <w:rPr>
          <w:b/>
          <w:bCs/>
          <w:i/>
          <w:iCs/>
          <w:sz w:val="20"/>
          <w:szCs w:val="20"/>
        </w:rPr>
        <w:t xml:space="preserve">: </w:t>
      </w:r>
      <w:r>
        <w:rPr>
          <w:b/>
          <w:bCs/>
          <w:i/>
          <w:iCs/>
          <w:sz w:val="20"/>
          <w:szCs w:val="20"/>
        </w:rPr>
        <w:t xml:space="preserve">It is up to network to avoid scheduling the UE to receive PDCCH and PDSCH with </w:t>
      </w:r>
      <w:r w:rsidRPr="00B64AF6">
        <w:rPr>
          <w:b/>
          <w:bCs/>
          <w:i/>
          <w:iCs/>
          <w:sz w:val="20"/>
          <w:szCs w:val="20"/>
        </w:rPr>
        <w:t xml:space="preserve">from different directions with different QCL </w:t>
      </w:r>
      <w:proofErr w:type="spellStart"/>
      <w:r w:rsidRPr="00B64AF6">
        <w:rPr>
          <w:b/>
          <w:bCs/>
          <w:i/>
          <w:iCs/>
          <w:sz w:val="20"/>
          <w:szCs w:val="20"/>
        </w:rPr>
        <w:t>TypeD</w:t>
      </w:r>
      <w:proofErr w:type="spellEnd"/>
      <w:r w:rsidRPr="00B64AF6">
        <w:rPr>
          <w:b/>
          <w:bCs/>
          <w:i/>
          <w:iCs/>
          <w:sz w:val="20"/>
          <w:szCs w:val="20"/>
        </w:rPr>
        <w:t xml:space="preserve"> RSs</w:t>
      </w:r>
      <w:r>
        <w:rPr>
          <w:b/>
          <w:bCs/>
          <w:i/>
          <w:iCs/>
          <w:sz w:val="20"/>
          <w:szCs w:val="20"/>
        </w:rPr>
        <w:t xml:space="preserve"> in case the UE cannot receive them simultaneously.</w:t>
      </w:r>
    </w:p>
    <w:p w14:paraId="2827105C" w14:textId="77777777" w:rsidR="006C0730" w:rsidRPr="002245F0" w:rsidRDefault="006C0730" w:rsidP="002245F0">
      <w:pPr>
        <w:rPr>
          <w:color w:val="000000"/>
          <w:sz w:val="20"/>
          <w:szCs w:val="20"/>
        </w:rPr>
      </w:pPr>
    </w:p>
    <w:p w14:paraId="479623AF" w14:textId="0964DB31" w:rsidR="0093011A" w:rsidRDefault="0093011A" w:rsidP="0093011A">
      <w:pPr>
        <w:pStyle w:val="Heading2"/>
      </w:pPr>
      <w:r>
        <w:t>2.</w:t>
      </w:r>
      <w:r w:rsidR="00312BF7">
        <w:t>3</w:t>
      </w:r>
      <w:r>
        <w:t xml:space="preserve"> </w:t>
      </w:r>
      <w:r w:rsidRPr="00BE5B23">
        <w:t xml:space="preserve">UE </w:t>
      </w:r>
      <w:proofErr w:type="spellStart"/>
      <w:r w:rsidRPr="00BE5B23">
        <w:t>behavior</w:t>
      </w:r>
      <w:proofErr w:type="spellEnd"/>
      <w:r w:rsidRPr="00BE5B23">
        <w:t xml:space="preserve"> in case the UE does not support the two configured target TCI </w:t>
      </w:r>
      <w:proofErr w:type="gramStart"/>
      <w:r w:rsidRPr="00BE5B23">
        <w:t>states</w:t>
      </w:r>
      <w:proofErr w:type="gramEnd"/>
    </w:p>
    <w:p w14:paraId="39873FFF" w14:textId="77777777" w:rsidR="00A07081" w:rsidRDefault="00A07081" w:rsidP="0093011A">
      <w:pPr>
        <w:rPr>
          <w:color w:val="000000"/>
          <w:sz w:val="20"/>
          <w:szCs w:val="20"/>
          <w:lang w:val="en-GB"/>
        </w:rPr>
      </w:pPr>
    </w:p>
    <w:p w14:paraId="41AB2C8A" w14:textId="7CD71AF0" w:rsidR="00A07081" w:rsidRDefault="00B64AF6" w:rsidP="0093011A">
      <w:pPr>
        <w:rPr>
          <w:color w:val="000000"/>
          <w:sz w:val="20"/>
          <w:szCs w:val="20"/>
          <w:lang w:val="en-GB"/>
        </w:rPr>
      </w:pPr>
      <w:r>
        <w:rPr>
          <w:color w:val="000000"/>
          <w:sz w:val="20"/>
          <w:szCs w:val="20"/>
          <w:lang w:val="en-GB"/>
        </w:rPr>
        <w:t>In the WF, the following agreement was made:</w:t>
      </w:r>
    </w:p>
    <w:p w14:paraId="2643F4F8" w14:textId="77777777" w:rsidR="00A07081" w:rsidRDefault="00A07081" w:rsidP="0093011A">
      <w:pPr>
        <w:rPr>
          <w:color w:val="000000"/>
          <w:sz w:val="20"/>
          <w:szCs w:val="20"/>
          <w:lang w:val="en-GB"/>
        </w:rPr>
      </w:pPr>
    </w:p>
    <w:p w14:paraId="63316604" w14:textId="77777777" w:rsidR="00B64AF6" w:rsidRPr="00B64AF6" w:rsidRDefault="00B64AF6" w:rsidP="00B64AF6">
      <w:pPr>
        <w:rPr>
          <w:b/>
          <w:sz w:val="20"/>
          <w:szCs w:val="20"/>
          <w:u w:val="single"/>
          <w:lang w:eastAsia="ko-KR"/>
        </w:rPr>
      </w:pPr>
      <w:r w:rsidRPr="00B64AF6">
        <w:rPr>
          <w:b/>
          <w:sz w:val="20"/>
          <w:szCs w:val="20"/>
          <w:u w:val="single"/>
          <w:lang w:eastAsia="ko-KR"/>
        </w:rPr>
        <w:t xml:space="preserve">Issue 2-1-2: UE </w:t>
      </w:r>
      <w:proofErr w:type="spellStart"/>
      <w:r w:rsidRPr="00B64AF6">
        <w:rPr>
          <w:b/>
          <w:sz w:val="20"/>
          <w:szCs w:val="20"/>
          <w:u w:val="single"/>
          <w:lang w:eastAsia="ko-KR"/>
        </w:rPr>
        <w:t>behaviour</w:t>
      </w:r>
      <w:proofErr w:type="spellEnd"/>
      <w:r w:rsidRPr="00B64AF6">
        <w:rPr>
          <w:b/>
          <w:sz w:val="20"/>
          <w:szCs w:val="20"/>
          <w:u w:val="single"/>
          <w:lang w:eastAsia="ko-KR"/>
        </w:rPr>
        <w:t xml:space="preserve"> when dual TCI states are not </w:t>
      </w:r>
      <w:proofErr w:type="gramStart"/>
      <w:r w:rsidRPr="00B64AF6">
        <w:rPr>
          <w:b/>
          <w:sz w:val="20"/>
          <w:szCs w:val="20"/>
          <w:u w:val="single"/>
          <w:lang w:eastAsia="ko-KR"/>
        </w:rPr>
        <w:t>supported</w:t>
      </w:r>
      <w:proofErr w:type="gramEnd"/>
      <w:r w:rsidRPr="00B64AF6">
        <w:rPr>
          <w:b/>
          <w:sz w:val="20"/>
          <w:szCs w:val="20"/>
          <w:u w:val="single"/>
          <w:lang w:eastAsia="ko-KR"/>
        </w:rPr>
        <w:t xml:space="preserve"> </w:t>
      </w:r>
    </w:p>
    <w:p w14:paraId="792398D1" w14:textId="77777777" w:rsidR="00B64AF6" w:rsidRPr="00B64AF6" w:rsidRDefault="00B64AF6" w:rsidP="00B64AF6">
      <w:pPr>
        <w:spacing w:after="120"/>
        <w:rPr>
          <w:bCs/>
          <w:sz w:val="20"/>
          <w:szCs w:val="20"/>
        </w:rPr>
      </w:pPr>
      <w:r w:rsidRPr="00B64AF6">
        <w:rPr>
          <w:bCs/>
          <w:sz w:val="20"/>
          <w:szCs w:val="20"/>
        </w:rPr>
        <w:t>Agreement:</w:t>
      </w:r>
    </w:p>
    <w:p w14:paraId="65AA834F" w14:textId="77777777" w:rsidR="00B64AF6" w:rsidRPr="00B64AF6" w:rsidRDefault="00B64AF6" w:rsidP="00B64AF6">
      <w:pPr>
        <w:autoSpaceDN w:val="0"/>
        <w:adjustRightInd w:val="0"/>
        <w:spacing w:line="252" w:lineRule="auto"/>
        <w:rPr>
          <w:sz w:val="20"/>
          <w:szCs w:val="20"/>
        </w:rPr>
      </w:pPr>
    </w:p>
    <w:p w14:paraId="597C516D" w14:textId="77777777" w:rsidR="00B64AF6" w:rsidRPr="00B64AF6" w:rsidRDefault="00B64AF6" w:rsidP="00B64AF6">
      <w:pPr>
        <w:pStyle w:val="ListParagraph"/>
        <w:numPr>
          <w:ilvl w:val="1"/>
          <w:numId w:val="51"/>
        </w:numPr>
        <w:autoSpaceDN w:val="0"/>
        <w:adjustRightInd w:val="0"/>
        <w:spacing w:after="120" w:line="252" w:lineRule="auto"/>
        <w:contextualSpacing w:val="0"/>
        <w:rPr>
          <w:sz w:val="20"/>
          <w:szCs w:val="20"/>
        </w:rPr>
      </w:pPr>
      <w:r w:rsidRPr="00B64AF6">
        <w:rPr>
          <w:sz w:val="20"/>
          <w:szCs w:val="20"/>
        </w:rPr>
        <w:t xml:space="preserve">No UE behavior is defined in Rel-18 multi-Rx WI when UE cannot receive dual TCI states </w:t>
      </w:r>
      <w:proofErr w:type="gramStart"/>
      <w:r w:rsidRPr="00B64AF6">
        <w:rPr>
          <w:sz w:val="20"/>
          <w:szCs w:val="20"/>
        </w:rPr>
        <w:t>simultaneously</w:t>
      </w:r>
      <w:proofErr w:type="gramEnd"/>
    </w:p>
    <w:p w14:paraId="14F375B0" w14:textId="1E99F58D" w:rsidR="00A07081" w:rsidRDefault="00DC1E15" w:rsidP="0093011A">
      <w:pPr>
        <w:rPr>
          <w:color w:val="000000"/>
          <w:sz w:val="20"/>
          <w:szCs w:val="20"/>
        </w:rPr>
      </w:pPr>
      <w:r>
        <w:rPr>
          <w:color w:val="000000"/>
          <w:sz w:val="20"/>
          <w:szCs w:val="20"/>
        </w:rPr>
        <w:t>We think it is necessary to capture this decision in 38.133 for clarity.</w:t>
      </w:r>
    </w:p>
    <w:p w14:paraId="1A34D1A2" w14:textId="77777777" w:rsidR="00B64AF6" w:rsidRPr="00B64AF6" w:rsidRDefault="00B64AF6" w:rsidP="0093011A">
      <w:pPr>
        <w:rPr>
          <w:color w:val="000000"/>
          <w:sz w:val="20"/>
          <w:szCs w:val="20"/>
        </w:rPr>
      </w:pPr>
    </w:p>
    <w:p w14:paraId="31EB970C" w14:textId="08288B7B" w:rsidR="00DC1E15" w:rsidRPr="00B64AF6" w:rsidRDefault="00DC1E15" w:rsidP="00DC1E15">
      <w:pPr>
        <w:spacing w:before="100" w:beforeAutospacing="1" w:after="100"/>
        <w:rPr>
          <w:b/>
          <w:bCs/>
          <w:i/>
          <w:iCs/>
          <w:sz w:val="20"/>
          <w:szCs w:val="20"/>
        </w:rPr>
      </w:pPr>
      <w:r>
        <w:rPr>
          <w:b/>
          <w:bCs/>
          <w:i/>
          <w:iCs/>
          <w:sz w:val="20"/>
          <w:szCs w:val="20"/>
        </w:rPr>
        <w:t>Proposal 3</w:t>
      </w:r>
      <w:r w:rsidRPr="004E0E90">
        <w:rPr>
          <w:b/>
          <w:bCs/>
          <w:i/>
          <w:iCs/>
          <w:sz w:val="20"/>
          <w:szCs w:val="20"/>
        </w:rPr>
        <w:t xml:space="preserve">: </w:t>
      </w:r>
      <w:r>
        <w:rPr>
          <w:b/>
          <w:bCs/>
          <w:i/>
          <w:iCs/>
          <w:sz w:val="20"/>
          <w:szCs w:val="20"/>
        </w:rPr>
        <w:t xml:space="preserve">It is proposed to capture in 38.133 the agreement </w:t>
      </w:r>
      <w:r w:rsidR="00B52768">
        <w:rPr>
          <w:b/>
          <w:bCs/>
          <w:i/>
          <w:iCs/>
          <w:sz w:val="20"/>
          <w:szCs w:val="20"/>
        </w:rPr>
        <w:t>that n</w:t>
      </w:r>
      <w:r w:rsidRPr="00DC1E15">
        <w:rPr>
          <w:b/>
          <w:bCs/>
          <w:i/>
          <w:iCs/>
          <w:sz w:val="20"/>
          <w:szCs w:val="20"/>
        </w:rPr>
        <w:t>o UE behavior is defined in Rel-18 multi-Rx WI when UE cannot receive dual TCI states simultaneously</w:t>
      </w:r>
      <w:r w:rsidR="00B52768">
        <w:rPr>
          <w:b/>
          <w:bCs/>
          <w:i/>
          <w:iCs/>
          <w:sz w:val="20"/>
          <w:szCs w:val="20"/>
        </w:rPr>
        <w:t>.</w:t>
      </w:r>
    </w:p>
    <w:p w14:paraId="4DAF7DB5" w14:textId="77777777" w:rsidR="00F41289" w:rsidRDefault="00F41289" w:rsidP="0093011A">
      <w:pPr>
        <w:rPr>
          <w:b/>
          <w:bCs/>
          <w:i/>
          <w:iCs/>
          <w:sz w:val="20"/>
          <w:szCs w:val="20"/>
        </w:rPr>
      </w:pPr>
    </w:p>
    <w:p w14:paraId="63FD3157" w14:textId="4C28D4F0" w:rsidR="00DC1E15" w:rsidRPr="00BB3EFF" w:rsidRDefault="00BB3EFF" w:rsidP="0093011A">
      <w:pPr>
        <w:rPr>
          <w:sz w:val="20"/>
          <w:szCs w:val="20"/>
        </w:rPr>
      </w:pPr>
      <w:r w:rsidRPr="00BB3EFF">
        <w:rPr>
          <w:sz w:val="20"/>
          <w:szCs w:val="20"/>
        </w:rPr>
        <w:t>A draft CR is provided in [</w:t>
      </w:r>
      <w:r>
        <w:rPr>
          <w:sz w:val="20"/>
          <w:szCs w:val="20"/>
        </w:rPr>
        <w:t>2</w:t>
      </w:r>
      <w:r w:rsidRPr="00BB3EFF">
        <w:rPr>
          <w:sz w:val="20"/>
          <w:szCs w:val="20"/>
        </w:rPr>
        <w:t>] for Proposals 2 and 3.</w:t>
      </w:r>
    </w:p>
    <w:p w14:paraId="59DDE12B" w14:textId="77777777" w:rsidR="00E55151" w:rsidRPr="00E55151" w:rsidRDefault="00E55151" w:rsidP="00C163A6">
      <w:pPr>
        <w:rPr>
          <w:color w:val="000000"/>
          <w:sz w:val="20"/>
          <w:szCs w:val="20"/>
          <w:lang w:val="en-GB"/>
        </w:rPr>
      </w:pPr>
    </w:p>
    <w:p w14:paraId="34C99636" w14:textId="77777777" w:rsidR="008E7986" w:rsidRDefault="008E7986" w:rsidP="008E7986">
      <w:pPr>
        <w:pStyle w:val="Heading1"/>
      </w:pPr>
      <w:r>
        <w:lastRenderedPageBreak/>
        <w:t>3</w:t>
      </w:r>
      <w:r>
        <w:tab/>
        <w:t>Conclusions</w:t>
      </w:r>
    </w:p>
    <w:p w14:paraId="6F3027FC" w14:textId="21C20307"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1D773710" w14:textId="20D2B359" w:rsidR="00074BDF" w:rsidRPr="005312F0" w:rsidRDefault="005312F0" w:rsidP="005312F0">
      <w:pPr>
        <w:spacing w:before="100" w:beforeAutospacing="1" w:after="100"/>
        <w:rPr>
          <w:b/>
          <w:bCs/>
          <w:i/>
          <w:iCs/>
          <w:sz w:val="20"/>
          <w:szCs w:val="20"/>
        </w:rPr>
      </w:pPr>
      <w:r>
        <w:rPr>
          <w:b/>
          <w:bCs/>
          <w:i/>
          <w:iCs/>
          <w:sz w:val="20"/>
          <w:szCs w:val="20"/>
        </w:rPr>
        <w:t>Proposal 1</w:t>
      </w:r>
      <w:r w:rsidRPr="004E0E90">
        <w:rPr>
          <w:b/>
          <w:bCs/>
          <w:i/>
          <w:iCs/>
          <w:sz w:val="20"/>
          <w:szCs w:val="20"/>
        </w:rPr>
        <w:t xml:space="preserve">: </w:t>
      </w:r>
      <w:r>
        <w:rPr>
          <w:b/>
          <w:bCs/>
          <w:i/>
          <w:iCs/>
          <w:sz w:val="20"/>
          <w:szCs w:val="20"/>
        </w:rPr>
        <w:t xml:space="preserve">It is proposed to </w:t>
      </w:r>
      <w:r w:rsidRPr="00765D33">
        <w:rPr>
          <w:b/>
          <w:bCs/>
          <w:i/>
          <w:iCs/>
          <w:sz w:val="20"/>
          <w:szCs w:val="20"/>
        </w:rPr>
        <w:t>address th</w:t>
      </w:r>
      <w:r>
        <w:rPr>
          <w:b/>
          <w:bCs/>
          <w:i/>
          <w:iCs/>
          <w:sz w:val="20"/>
          <w:szCs w:val="20"/>
        </w:rPr>
        <w:t>e</w:t>
      </w:r>
      <w:r w:rsidRPr="00765D33">
        <w:rPr>
          <w:b/>
          <w:bCs/>
          <w:i/>
          <w:iCs/>
          <w:sz w:val="20"/>
          <w:szCs w:val="20"/>
        </w:rPr>
        <w:t xml:space="preserve"> issue </w:t>
      </w:r>
      <w:r>
        <w:rPr>
          <w:b/>
          <w:bCs/>
          <w:i/>
          <w:iCs/>
          <w:sz w:val="20"/>
          <w:szCs w:val="20"/>
        </w:rPr>
        <w:t xml:space="preserve">of whether additional delay in MAC CE based TCI state switching is needed </w:t>
      </w:r>
      <w:r w:rsidRPr="00765D33">
        <w:rPr>
          <w:b/>
          <w:bCs/>
          <w:i/>
          <w:iCs/>
          <w:sz w:val="20"/>
          <w:szCs w:val="20"/>
        </w:rPr>
        <w:t xml:space="preserve">by UE capability. By default, </w:t>
      </w:r>
      <w:r>
        <w:rPr>
          <w:b/>
          <w:bCs/>
          <w:i/>
          <w:iCs/>
          <w:sz w:val="20"/>
          <w:szCs w:val="20"/>
        </w:rPr>
        <w:t>a</w:t>
      </w:r>
      <w:r w:rsidRPr="00765D33">
        <w:rPr>
          <w:b/>
          <w:bCs/>
          <w:i/>
          <w:iCs/>
          <w:sz w:val="20"/>
          <w:szCs w:val="20"/>
        </w:rPr>
        <w:t xml:space="preserve"> UE should support </w:t>
      </w:r>
      <w:r>
        <w:rPr>
          <w:b/>
          <w:bCs/>
          <w:i/>
          <w:iCs/>
          <w:sz w:val="20"/>
          <w:szCs w:val="20"/>
        </w:rPr>
        <w:t xml:space="preserve">MAC CE based </w:t>
      </w:r>
      <w:r w:rsidRPr="00765D33">
        <w:rPr>
          <w:b/>
          <w:bCs/>
          <w:i/>
          <w:iCs/>
          <w:sz w:val="20"/>
          <w:szCs w:val="20"/>
        </w:rPr>
        <w:t>dual TCI state switching without the additional delay.</w:t>
      </w:r>
    </w:p>
    <w:p w14:paraId="1AFEBD71" w14:textId="77777777" w:rsidR="005312F0" w:rsidRPr="00B64AF6" w:rsidRDefault="005312F0" w:rsidP="005312F0">
      <w:pPr>
        <w:spacing w:before="100" w:beforeAutospacing="1" w:after="100"/>
        <w:rPr>
          <w:b/>
          <w:bCs/>
          <w:i/>
          <w:iCs/>
          <w:sz w:val="20"/>
          <w:szCs w:val="20"/>
        </w:rPr>
      </w:pPr>
      <w:r>
        <w:rPr>
          <w:b/>
          <w:bCs/>
          <w:i/>
          <w:iCs/>
          <w:sz w:val="20"/>
          <w:szCs w:val="20"/>
        </w:rPr>
        <w:t>Proposal 2</w:t>
      </w:r>
      <w:r w:rsidRPr="004E0E90">
        <w:rPr>
          <w:b/>
          <w:bCs/>
          <w:i/>
          <w:iCs/>
          <w:sz w:val="20"/>
          <w:szCs w:val="20"/>
        </w:rPr>
        <w:t xml:space="preserve">: </w:t>
      </w:r>
      <w:r>
        <w:rPr>
          <w:b/>
          <w:bCs/>
          <w:i/>
          <w:iCs/>
          <w:sz w:val="20"/>
          <w:szCs w:val="20"/>
        </w:rPr>
        <w:t xml:space="preserve">It is up to network to avoid scheduling the UE to receive PDCCH and PDSCH with </w:t>
      </w:r>
      <w:r w:rsidRPr="00B64AF6">
        <w:rPr>
          <w:b/>
          <w:bCs/>
          <w:i/>
          <w:iCs/>
          <w:sz w:val="20"/>
          <w:szCs w:val="20"/>
        </w:rPr>
        <w:t xml:space="preserve">from different directions with different QCL </w:t>
      </w:r>
      <w:proofErr w:type="spellStart"/>
      <w:r w:rsidRPr="00B64AF6">
        <w:rPr>
          <w:b/>
          <w:bCs/>
          <w:i/>
          <w:iCs/>
          <w:sz w:val="20"/>
          <w:szCs w:val="20"/>
        </w:rPr>
        <w:t>TypeD</w:t>
      </w:r>
      <w:proofErr w:type="spellEnd"/>
      <w:r w:rsidRPr="00B64AF6">
        <w:rPr>
          <w:b/>
          <w:bCs/>
          <w:i/>
          <w:iCs/>
          <w:sz w:val="20"/>
          <w:szCs w:val="20"/>
        </w:rPr>
        <w:t xml:space="preserve"> RSs</w:t>
      </w:r>
      <w:r>
        <w:rPr>
          <w:b/>
          <w:bCs/>
          <w:i/>
          <w:iCs/>
          <w:sz w:val="20"/>
          <w:szCs w:val="20"/>
        </w:rPr>
        <w:t xml:space="preserve"> in case the UE cannot receive them simultaneously.</w:t>
      </w:r>
    </w:p>
    <w:p w14:paraId="17C79982" w14:textId="6DEA5636" w:rsidR="005312F0" w:rsidRPr="00B64AF6" w:rsidRDefault="005312F0" w:rsidP="005312F0">
      <w:pPr>
        <w:spacing w:before="100" w:beforeAutospacing="1" w:after="100"/>
        <w:rPr>
          <w:b/>
          <w:bCs/>
          <w:i/>
          <w:iCs/>
          <w:sz w:val="20"/>
          <w:szCs w:val="20"/>
        </w:rPr>
      </w:pPr>
      <w:r>
        <w:rPr>
          <w:b/>
          <w:bCs/>
          <w:i/>
          <w:iCs/>
          <w:sz w:val="20"/>
          <w:szCs w:val="20"/>
        </w:rPr>
        <w:t>Proposal 3</w:t>
      </w:r>
      <w:r w:rsidRPr="004E0E90">
        <w:rPr>
          <w:b/>
          <w:bCs/>
          <w:i/>
          <w:iCs/>
          <w:sz w:val="20"/>
          <w:szCs w:val="20"/>
        </w:rPr>
        <w:t xml:space="preserve">: </w:t>
      </w:r>
      <w:r>
        <w:rPr>
          <w:b/>
          <w:bCs/>
          <w:i/>
          <w:iCs/>
          <w:sz w:val="20"/>
          <w:szCs w:val="20"/>
        </w:rPr>
        <w:t xml:space="preserve">It is proposed to capture in 38.133 the agreement </w:t>
      </w:r>
      <w:r w:rsidR="00B52768">
        <w:rPr>
          <w:b/>
          <w:bCs/>
          <w:i/>
          <w:iCs/>
          <w:sz w:val="20"/>
          <w:szCs w:val="20"/>
        </w:rPr>
        <w:t>n</w:t>
      </w:r>
      <w:r w:rsidRPr="00DC1E15">
        <w:rPr>
          <w:b/>
          <w:bCs/>
          <w:i/>
          <w:iCs/>
          <w:sz w:val="20"/>
          <w:szCs w:val="20"/>
        </w:rPr>
        <w:t>o UE behavior is defined in Rel-18 multi-Rx WI when UE cannot receive dual TCI states simultaneously</w:t>
      </w:r>
      <w:r w:rsidR="00B52768">
        <w:rPr>
          <w:b/>
          <w:bCs/>
          <w:i/>
          <w:iCs/>
          <w:sz w:val="20"/>
          <w:szCs w:val="20"/>
        </w:rPr>
        <w:t>.</w:t>
      </w:r>
    </w:p>
    <w:p w14:paraId="6BDEBD51" w14:textId="77777777" w:rsidR="00074BDF" w:rsidRPr="00074BDF" w:rsidRDefault="00074BDF" w:rsidP="00840D0A">
      <w:pPr>
        <w:rPr>
          <w:color w:val="000000"/>
          <w:sz w:val="20"/>
          <w:szCs w:val="20"/>
        </w:rPr>
      </w:pPr>
    </w:p>
    <w:p w14:paraId="4D133CD8" w14:textId="4D8B9443" w:rsidR="00276EE4" w:rsidRPr="003A0483" w:rsidRDefault="005E69AE" w:rsidP="00BC4103">
      <w:pPr>
        <w:pStyle w:val="Heading1"/>
      </w:pPr>
      <w:r>
        <w:t>4</w:t>
      </w:r>
      <w:r>
        <w:tab/>
        <w:t>References</w:t>
      </w:r>
    </w:p>
    <w:bookmarkEnd w:id="0"/>
    <w:p w14:paraId="20A34B94" w14:textId="2B0C1C70" w:rsidR="00082E65" w:rsidRDefault="00082E65" w:rsidP="00082E65">
      <w:pPr>
        <w:pStyle w:val="EX"/>
        <w:rPr>
          <w:sz w:val="20"/>
          <w:szCs w:val="20"/>
        </w:rPr>
      </w:pPr>
      <w:r w:rsidRPr="00082E65">
        <w:rPr>
          <w:sz w:val="20"/>
          <w:szCs w:val="20"/>
        </w:rPr>
        <w:t>R4-23</w:t>
      </w:r>
      <w:r w:rsidR="0021091A">
        <w:rPr>
          <w:sz w:val="20"/>
          <w:szCs w:val="20"/>
        </w:rPr>
        <w:t>1</w:t>
      </w:r>
      <w:r w:rsidR="00B570A9">
        <w:rPr>
          <w:sz w:val="20"/>
          <w:szCs w:val="20"/>
        </w:rPr>
        <w:t>4283</w:t>
      </w:r>
      <w:r w:rsidRPr="00082E65">
        <w:rPr>
          <w:sz w:val="20"/>
          <w:szCs w:val="20"/>
        </w:rPr>
        <w:t>, "</w:t>
      </w:r>
      <w:r w:rsidR="0021091A" w:rsidRPr="0021091A">
        <w:rPr>
          <w:sz w:val="20"/>
          <w:szCs w:val="20"/>
        </w:rPr>
        <w:t>WF on FR2_multiRx_part2</w:t>
      </w:r>
      <w:r w:rsidRPr="00082E65">
        <w:rPr>
          <w:sz w:val="20"/>
          <w:szCs w:val="20"/>
        </w:rPr>
        <w:t xml:space="preserve">," </w:t>
      </w:r>
      <w:r w:rsidR="0021091A" w:rsidRPr="0021091A">
        <w:rPr>
          <w:sz w:val="20"/>
          <w:szCs w:val="20"/>
        </w:rPr>
        <w:t>Moderator (Ericsson)</w:t>
      </w:r>
    </w:p>
    <w:p w14:paraId="64035DA5" w14:textId="44DF1B73" w:rsidR="00BB3EFF" w:rsidRDefault="00BB3EFF" w:rsidP="00BB3EFF">
      <w:pPr>
        <w:pStyle w:val="EX"/>
        <w:rPr>
          <w:sz w:val="20"/>
          <w:szCs w:val="20"/>
        </w:rPr>
      </w:pPr>
      <w:r w:rsidRPr="00082E65">
        <w:rPr>
          <w:sz w:val="20"/>
          <w:szCs w:val="20"/>
        </w:rPr>
        <w:t>R4-23</w:t>
      </w:r>
      <w:r>
        <w:rPr>
          <w:sz w:val="20"/>
          <w:szCs w:val="20"/>
        </w:rPr>
        <w:t>1</w:t>
      </w:r>
      <w:r w:rsidR="00786A20">
        <w:rPr>
          <w:sz w:val="20"/>
          <w:szCs w:val="20"/>
        </w:rPr>
        <w:t>5508</w:t>
      </w:r>
      <w:r w:rsidRPr="00082E65">
        <w:rPr>
          <w:sz w:val="20"/>
          <w:szCs w:val="20"/>
        </w:rPr>
        <w:t>, "</w:t>
      </w:r>
      <w:r w:rsidR="00786A20" w:rsidRPr="00786A20">
        <w:rPr>
          <w:sz w:val="20"/>
          <w:szCs w:val="20"/>
        </w:rPr>
        <w:t>draft CR on DCI based TCI state switch and active TCI state list update</w:t>
      </w:r>
      <w:r w:rsidRPr="00082E65">
        <w:rPr>
          <w:sz w:val="20"/>
          <w:szCs w:val="20"/>
        </w:rPr>
        <w:t xml:space="preserve">," </w:t>
      </w:r>
      <w:proofErr w:type="gramStart"/>
      <w:r w:rsidR="00786A20">
        <w:rPr>
          <w:sz w:val="20"/>
          <w:szCs w:val="20"/>
        </w:rPr>
        <w:t>Apple</w:t>
      </w:r>
      <w:proofErr w:type="gramEnd"/>
    </w:p>
    <w:p w14:paraId="2DFBC437" w14:textId="77777777" w:rsidR="00BB3EFF" w:rsidRPr="00082E65" w:rsidRDefault="00BB3EFF" w:rsidP="00216F05">
      <w:pPr>
        <w:pStyle w:val="EX"/>
        <w:numPr>
          <w:ilvl w:val="0"/>
          <w:numId w:val="0"/>
        </w:numPr>
        <w:rPr>
          <w:sz w:val="20"/>
          <w:szCs w:val="20"/>
        </w:rPr>
      </w:pPr>
    </w:p>
    <w:p w14:paraId="37ACD691" w14:textId="77777777" w:rsidR="009C49E3" w:rsidRPr="00F36DC7" w:rsidRDefault="009C49E3" w:rsidP="009C49E3">
      <w:pPr>
        <w:pStyle w:val="EX"/>
        <w:numPr>
          <w:ilvl w:val="0"/>
          <w:numId w:val="0"/>
        </w:numPr>
        <w:ind w:left="369"/>
        <w:rPr>
          <w:sz w:val="20"/>
          <w:szCs w:val="20"/>
        </w:rPr>
      </w:pPr>
    </w:p>
    <w:sectPr w:rsidR="009C49E3" w:rsidRPr="00F36DC7" w:rsidSect="00114E2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A1B88" w14:textId="77777777" w:rsidR="00893B69" w:rsidRDefault="00893B69">
      <w:r>
        <w:separator/>
      </w:r>
    </w:p>
  </w:endnote>
  <w:endnote w:type="continuationSeparator" w:id="0">
    <w:p w14:paraId="1C134C14" w14:textId="77777777" w:rsidR="00893B69" w:rsidRDefault="00893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61D18" w14:textId="77777777" w:rsidR="00F64097" w:rsidRDefault="00F640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5454F" w14:textId="77777777" w:rsidR="00F64097" w:rsidRDefault="00F640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935B2" w14:textId="77777777" w:rsidR="00F64097" w:rsidRDefault="00F640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21687" w14:textId="77777777" w:rsidR="00893B69" w:rsidRDefault="00893B69">
      <w:r>
        <w:separator/>
      </w:r>
    </w:p>
  </w:footnote>
  <w:footnote w:type="continuationSeparator" w:id="0">
    <w:p w14:paraId="6C736EA6" w14:textId="77777777" w:rsidR="00893B69" w:rsidRDefault="00893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0D585" w14:textId="77777777" w:rsidR="00F64097" w:rsidRDefault="00F640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F882C" w14:textId="77777777" w:rsidR="00F64097" w:rsidRDefault="00F640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31631"/>
    <w:multiLevelType w:val="hybridMultilevel"/>
    <w:tmpl w:val="32122DF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1E0858D1"/>
    <w:multiLevelType w:val="hybridMultilevel"/>
    <w:tmpl w:val="3BC6A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FB7500"/>
    <w:multiLevelType w:val="hybridMultilevel"/>
    <w:tmpl w:val="AD66C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E38FC"/>
    <w:multiLevelType w:val="hybridMultilevel"/>
    <w:tmpl w:val="C24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16282F"/>
    <w:multiLevelType w:val="hybridMultilevel"/>
    <w:tmpl w:val="1F381A3A"/>
    <w:lvl w:ilvl="0" w:tplc="07E05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AC236B"/>
    <w:multiLevelType w:val="hybridMultilevel"/>
    <w:tmpl w:val="CB9E2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96568CF"/>
    <w:multiLevelType w:val="hybridMultilevel"/>
    <w:tmpl w:val="2FF2A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DA7376"/>
    <w:multiLevelType w:val="hybridMultilevel"/>
    <w:tmpl w:val="9AE84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35768E4"/>
    <w:multiLevelType w:val="hybridMultilevel"/>
    <w:tmpl w:val="79E82E2E"/>
    <w:lvl w:ilvl="0" w:tplc="2FFAF1B0">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7A271A"/>
    <w:multiLevelType w:val="hybridMultilevel"/>
    <w:tmpl w:val="A9F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0212E41"/>
    <w:multiLevelType w:val="hybridMultilevel"/>
    <w:tmpl w:val="60AAEE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4"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267C66"/>
    <w:multiLevelType w:val="hybridMultilevel"/>
    <w:tmpl w:val="600AE5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27D07DA"/>
    <w:multiLevelType w:val="hybridMultilevel"/>
    <w:tmpl w:val="CE06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710814"/>
    <w:multiLevelType w:val="hybridMultilevel"/>
    <w:tmpl w:val="504A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449714B"/>
    <w:multiLevelType w:val="hybridMultilevel"/>
    <w:tmpl w:val="435EFBF6"/>
    <w:lvl w:ilvl="0" w:tplc="7ED2C8F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50"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A0F701C"/>
    <w:multiLevelType w:val="hybridMultilevel"/>
    <w:tmpl w:val="408CA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C34076"/>
    <w:multiLevelType w:val="hybridMultilevel"/>
    <w:tmpl w:val="5A5C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46"/>
  </w:num>
  <w:num w:numId="5" w16cid:durableId="1501116029">
    <w:abstractNumId w:val="3"/>
  </w:num>
  <w:num w:numId="6" w16cid:durableId="1775780724">
    <w:abstractNumId w:val="3"/>
  </w:num>
  <w:num w:numId="7" w16cid:durableId="2004430155">
    <w:abstractNumId w:val="26"/>
  </w:num>
  <w:num w:numId="8" w16cid:durableId="820000239">
    <w:abstractNumId w:val="6"/>
  </w:num>
  <w:num w:numId="9" w16cid:durableId="1418207271">
    <w:abstractNumId w:val="31"/>
  </w:num>
  <w:num w:numId="10" w16cid:durableId="1583371418">
    <w:abstractNumId w:val="43"/>
  </w:num>
  <w:num w:numId="11" w16cid:durableId="654532386">
    <w:abstractNumId w:val="17"/>
  </w:num>
  <w:num w:numId="12" w16cid:durableId="1304584639">
    <w:abstractNumId w:val="14"/>
  </w:num>
  <w:num w:numId="13" w16cid:durableId="721171787">
    <w:abstractNumId w:val="10"/>
  </w:num>
  <w:num w:numId="14" w16cid:durableId="1592349769">
    <w:abstractNumId w:val="41"/>
  </w:num>
  <w:num w:numId="15" w16cid:durableId="278998918">
    <w:abstractNumId w:val="22"/>
  </w:num>
  <w:num w:numId="16" w16cid:durableId="434713335">
    <w:abstractNumId w:val="38"/>
  </w:num>
  <w:num w:numId="17" w16cid:durableId="1786650561">
    <w:abstractNumId w:val="23"/>
  </w:num>
  <w:num w:numId="18" w16cid:durableId="119229966">
    <w:abstractNumId w:val="7"/>
  </w:num>
  <w:num w:numId="19" w16cid:durableId="773282714">
    <w:abstractNumId w:val="29"/>
  </w:num>
  <w:num w:numId="20" w16cid:durableId="1943295931">
    <w:abstractNumId w:val="1"/>
  </w:num>
  <w:num w:numId="21" w16cid:durableId="721640857">
    <w:abstractNumId w:val="51"/>
  </w:num>
  <w:num w:numId="22" w16cid:durableId="1167212164">
    <w:abstractNumId w:val="52"/>
  </w:num>
  <w:num w:numId="23" w16cid:durableId="240023206">
    <w:abstractNumId w:val="30"/>
  </w:num>
  <w:num w:numId="24" w16cid:durableId="191648044">
    <w:abstractNumId w:val="16"/>
  </w:num>
  <w:num w:numId="25" w16cid:durableId="473066965">
    <w:abstractNumId w:val="27"/>
  </w:num>
  <w:num w:numId="26" w16cid:durableId="1489638411">
    <w:abstractNumId w:val="25"/>
  </w:num>
  <w:num w:numId="27" w16cid:durableId="1422525457">
    <w:abstractNumId w:val="24"/>
  </w:num>
  <w:num w:numId="28" w16cid:durableId="653946618">
    <w:abstractNumId w:val="4"/>
  </w:num>
  <w:num w:numId="29" w16cid:durableId="1543327048">
    <w:abstractNumId w:val="54"/>
  </w:num>
  <w:num w:numId="30" w16cid:durableId="991716118">
    <w:abstractNumId w:val="18"/>
  </w:num>
  <w:num w:numId="31" w16cid:durableId="737675157">
    <w:abstractNumId w:val="20"/>
  </w:num>
  <w:num w:numId="32" w16cid:durableId="526335178">
    <w:abstractNumId w:val="13"/>
  </w:num>
  <w:num w:numId="33" w16cid:durableId="1432161911">
    <w:abstractNumId w:val="5"/>
  </w:num>
  <w:num w:numId="34" w16cid:durableId="463815305">
    <w:abstractNumId w:val="37"/>
  </w:num>
  <w:num w:numId="35" w16cid:durableId="1451046251">
    <w:abstractNumId w:val="50"/>
  </w:num>
  <w:num w:numId="36" w16cid:durableId="1500928002">
    <w:abstractNumId w:val="39"/>
  </w:num>
  <w:num w:numId="37" w16cid:durableId="481117822">
    <w:abstractNumId w:val="15"/>
  </w:num>
  <w:num w:numId="38" w16cid:durableId="1328439027">
    <w:abstractNumId w:val="44"/>
  </w:num>
  <w:num w:numId="39" w16cid:durableId="1341740826">
    <w:abstractNumId w:val="36"/>
  </w:num>
  <w:num w:numId="40" w16cid:durableId="1537429877">
    <w:abstractNumId w:val="49"/>
  </w:num>
  <w:num w:numId="41" w16cid:durableId="302203300">
    <w:abstractNumId w:val="55"/>
  </w:num>
  <w:num w:numId="42" w16cid:durableId="381712461">
    <w:abstractNumId w:val="21"/>
  </w:num>
  <w:num w:numId="43" w16cid:durableId="1108353740">
    <w:abstractNumId w:val="19"/>
  </w:num>
  <w:num w:numId="44" w16cid:durableId="912857868">
    <w:abstractNumId w:val="28"/>
  </w:num>
  <w:num w:numId="45" w16cid:durableId="1358585767">
    <w:abstractNumId w:val="34"/>
  </w:num>
  <w:num w:numId="46" w16cid:durableId="596602009">
    <w:abstractNumId w:val="47"/>
  </w:num>
  <w:num w:numId="47" w16cid:durableId="736827667">
    <w:abstractNumId w:val="9"/>
  </w:num>
  <w:num w:numId="48" w16cid:durableId="704595738">
    <w:abstractNumId w:val="48"/>
  </w:num>
  <w:num w:numId="49" w16cid:durableId="1945575566">
    <w:abstractNumId w:val="8"/>
  </w:num>
  <w:num w:numId="50" w16cid:durableId="1385643258">
    <w:abstractNumId w:val="53"/>
  </w:num>
  <w:num w:numId="51" w16cid:durableId="297734826">
    <w:abstractNumId w:val="45"/>
  </w:num>
  <w:num w:numId="52" w16cid:durableId="626274035">
    <w:abstractNumId w:val="40"/>
  </w:num>
  <w:num w:numId="53" w16cid:durableId="279841467">
    <w:abstractNumId w:val="42"/>
  </w:num>
  <w:num w:numId="54" w16cid:durableId="1171069925">
    <w:abstractNumId w:val="32"/>
  </w:num>
  <w:num w:numId="55" w16cid:durableId="614101913">
    <w:abstractNumId w:val="35"/>
  </w:num>
  <w:num w:numId="56" w16cid:durableId="243609066">
    <w:abstractNumId w:val="11"/>
  </w:num>
  <w:num w:numId="57" w16cid:durableId="1436749609">
    <w:abstractNumId w:val="33"/>
  </w:num>
  <w:num w:numId="58" w16cid:durableId="21221436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06869"/>
    <w:rsid w:val="00011C66"/>
    <w:rsid w:val="000129A5"/>
    <w:rsid w:val="00012A37"/>
    <w:rsid w:val="0001496E"/>
    <w:rsid w:val="000262F6"/>
    <w:rsid w:val="00026BD3"/>
    <w:rsid w:val="00033397"/>
    <w:rsid w:val="00040095"/>
    <w:rsid w:val="000438C2"/>
    <w:rsid w:val="00046768"/>
    <w:rsid w:val="0004681A"/>
    <w:rsid w:val="00051834"/>
    <w:rsid w:val="0005477E"/>
    <w:rsid w:val="00054A22"/>
    <w:rsid w:val="00056AE1"/>
    <w:rsid w:val="00062023"/>
    <w:rsid w:val="000655A6"/>
    <w:rsid w:val="00067FD6"/>
    <w:rsid w:val="00071312"/>
    <w:rsid w:val="00074BDF"/>
    <w:rsid w:val="00077697"/>
    <w:rsid w:val="00080512"/>
    <w:rsid w:val="00082E65"/>
    <w:rsid w:val="00083414"/>
    <w:rsid w:val="00092DEA"/>
    <w:rsid w:val="0009500A"/>
    <w:rsid w:val="00096CD8"/>
    <w:rsid w:val="000A365D"/>
    <w:rsid w:val="000A46CB"/>
    <w:rsid w:val="000A68F3"/>
    <w:rsid w:val="000B4E6A"/>
    <w:rsid w:val="000B7599"/>
    <w:rsid w:val="000C09FA"/>
    <w:rsid w:val="000C1B24"/>
    <w:rsid w:val="000C47C3"/>
    <w:rsid w:val="000C59B4"/>
    <w:rsid w:val="000C7FB6"/>
    <w:rsid w:val="000D02FD"/>
    <w:rsid w:val="000D2AB6"/>
    <w:rsid w:val="000D2C4B"/>
    <w:rsid w:val="000D58AB"/>
    <w:rsid w:val="000D7D1B"/>
    <w:rsid w:val="000E16EF"/>
    <w:rsid w:val="000E3702"/>
    <w:rsid w:val="000E7808"/>
    <w:rsid w:val="000F032B"/>
    <w:rsid w:val="000F1A79"/>
    <w:rsid w:val="000F1D2A"/>
    <w:rsid w:val="000F3400"/>
    <w:rsid w:val="000F413D"/>
    <w:rsid w:val="000F42F7"/>
    <w:rsid w:val="000F4BE8"/>
    <w:rsid w:val="000F4D62"/>
    <w:rsid w:val="000F5499"/>
    <w:rsid w:val="000F5D71"/>
    <w:rsid w:val="001016B4"/>
    <w:rsid w:val="00101EB9"/>
    <w:rsid w:val="00104836"/>
    <w:rsid w:val="00104BC6"/>
    <w:rsid w:val="00104E3B"/>
    <w:rsid w:val="00112A20"/>
    <w:rsid w:val="00112D80"/>
    <w:rsid w:val="0011484E"/>
    <w:rsid w:val="00114E2C"/>
    <w:rsid w:val="00122DA8"/>
    <w:rsid w:val="00123B8A"/>
    <w:rsid w:val="00126F3E"/>
    <w:rsid w:val="00133525"/>
    <w:rsid w:val="00133ED8"/>
    <w:rsid w:val="001343AB"/>
    <w:rsid w:val="00134E23"/>
    <w:rsid w:val="00152010"/>
    <w:rsid w:val="0015223A"/>
    <w:rsid w:val="0015240F"/>
    <w:rsid w:val="001529BF"/>
    <w:rsid w:val="001549F2"/>
    <w:rsid w:val="001620A7"/>
    <w:rsid w:val="00162A8A"/>
    <w:rsid w:val="00165302"/>
    <w:rsid w:val="00167A77"/>
    <w:rsid w:val="00171166"/>
    <w:rsid w:val="00171FDC"/>
    <w:rsid w:val="00180632"/>
    <w:rsid w:val="00182F98"/>
    <w:rsid w:val="00186EF5"/>
    <w:rsid w:val="0019040A"/>
    <w:rsid w:val="00191964"/>
    <w:rsid w:val="0019258D"/>
    <w:rsid w:val="00193F04"/>
    <w:rsid w:val="001A1513"/>
    <w:rsid w:val="001A3AAC"/>
    <w:rsid w:val="001A4C42"/>
    <w:rsid w:val="001B2337"/>
    <w:rsid w:val="001C21C3"/>
    <w:rsid w:val="001C7CD8"/>
    <w:rsid w:val="001D02C2"/>
    <w:rsid w:val="001D3883"/>
    <w:rsid w:val="001D506F"/>
    <w:rsid w:val="001E2CFB"/>
    <w:rsid w:val="001E66CA"/>
    <w:rsid w:val="001E6A20"/>
    <w:rsid w:val="001E72C3"/>
    <w:rsid w:val="001E7A2A"/>
    <w:rsid w:val="001F0C1D"/>
    <w:rsid w:val="001F1132"/>
    <w:rsid w:val="001F168B"/>
    <w:rsid w:val="001F40CB"/>
    <w:rsid w:val="001F6F65"/>
    <w:rsid w:val="00200761"/>
    <w:rsid w:val="0021091A"/>
    <w:rsid w:val="00210943"/>
    <w:rsid w:val="00211302"/>
    <w:rsid w:val="002117BB"/>
    <w:rsid w:val="00216F05"/>
    <w:rsid w:val="00220BF3"/>
    <w:rsid w:val="00221FE4"/>
    <w:rsid w:val="00223D34"/>
    <w:rsid w:val="00223E60"/>
    <w:rsid w:val="002245F0"/>
    <w:rsid w:val="00225E3F"/>
    <w:rsid w:val="00230C9B"/>
    <w:rsid w:val="002347A2"/>
    <w:rsid w:val="00235941"/>
    <w:rsid w:val="0023723C"/>
    <w:rsid w:val="002419B9"/>
    <w:rsid w:val="002419C4"/>
    <w:rsid w:val="00244A1B"/>
    <w:rsid w:val="00247926"/>
    <w:rsid w:val="0025067B"/>
    <w:rsid w:val="00253687"/>
    <w:rsid w:val="00254E0F"/>
    <w:rsid w:val="00255247"/>
    <w:rsid w:val="002557C8"/>
    <w:rsid w:val="002600B9"/>
    <w:rsid w:val="00261DE3"/>
    <w:rsid w:val="00262167"/>
    <w:rsid w:val="002654F1"/>
    <w:rsid w:val="002675F0"/>
    <w:rsid w:val="00275F35"/>
    <w:rsid w:val="00276EE4"/>
    <w:rsid w:val="0027751B"/>
    <w:rsid w:val="00285890"/>
    <w:rsid w:val="002868F0"/>
    <w:rsid w:val="00287B8F"/>
    <w:rsid w:val="00292CBB"/>
    <w:rsid w:val="002935D4"/>
    <w:rsid w:val="00294DDA"/>
    <w:rsid w:val="002A5644"/>
    <w:rsid w:val="002B2D3F"/>
    <w:rsid w:val="002B378B"/>
    <w:rsid w:val="002B3DDB"/>
    <w:rsid w:val="002B6339"/>
    <w:rsid w:val="002C34CE"/>
    <w:rsid w:val="002C4ECD"/>
    <w:rsid w:val="002D16F1"/>
    <w:rsid w:val="002D22D9"/>
    <w:rsid w:val="002D56F3"/>
    <w:rsid w:val="002D7E93"/>
    <w:rsid w:val="002E0086"/>
    <w:rsid w:val="002E00EE"/>
    <w:rsid w:val="002E1F9D"/>
    <w:rsid w:val="002F0E0C"/>
    <w:rsid w:val="002F21F4"/>
    <w:rsid w:val="002F5216"/>
    <w:rsid w:val="00300ACF"/>
    <w:rsid w:val="00300BA9"/>
    <w:rsid w:val="00301868"/>
    <w:rsid w:val="00303F37"/>
    <w:rsid w:val="00307031"/>
    <w:rsid w:val="00312BF7"/>
    <w:rsid w:val="00313A57"/>
    <w:rsid w:val="00315B08"/>
    <w:rsid w:val="003172DC"/>
    <w:rsid w:val="003211AF"/>
    <w:rsid w:val="003242B5"/>
    <w:rsid w:val="003267D7"/>
    <w:rsid w:val="003348D2"/>
    <w:rsid w:val="003358E2"/>
    <w:rsid w:val="0033606D"/>
    <w:rsid w:val="00336438"/>
    <w:rsid w:val="003378AE"/>
    <w:rsid w:val="00337B72"/>
    <w:rsid w:val="003402C9"/>
    <w:rsid w:val="0034052F"/>
    <w:rsid w:val="00340CDF"/>
    <w:rsid w:val="0034273B"/>
    <w:rsid w:val="00345425"/>
    <w:rsid w:val="0034735C"/>
    <w:rsid w:val="00350433"/>
    <w:rsid w:val="00350545"/>
    <w:rsid w:val="003523D8"/>
    <w:rsid w:val="00352816"/>
    <w:rsid w:val="00353C63"/>
    <w:rsid w:val="0035462D"/>
    <w:rsid w:val="00357075"/>
    <w:rsid w:val="00360810"/>
    <w:rsid w:val="00361D93"/>
    <w:rsid w:val="00363C61"/>
    <w:rsid w:val="003650C3"/>
    <w:rsid w:val="0036620E"/>
    <w:rsid w:val="003671B1"/>
    <w:rsid w:val="00370A9A"/>
    <w:rsid w:val="00371558"/>
    <w:rsid w:val="00371B59"/>
    <w:rsid w:val="0037264F"/>
    <w:rsid w:val="003736FD"/>
    <w:rsid w:val="003744F9"/>
    <w:rsid w:val="003765B8"/>
    <w:rsid w:val="003844E2"/>
    <w:rsid w:val="00384F83"/>
    <w:rsid w:val="00392BEA"/>
    <w:rsid w:val="003A0483"/>
    <w:rsid w:val="003A706D"/>
    <w:rsid w:val="003B0393"/>
    <w:rsid w:val="003B4652"/>
    <w:rsid w:val="003C3971"/>
    <w:rsid w:val="003C4D69"/>
    <w:rsid w:val="003C561B"/>
    <w:rsid w:val="003D37E2"/>
    <w:rsid w:val="003D4522"/>
    <w:rsid w:val="003E2C78"/>
    <w:rsid w:val="003E70FA"/>
    <w:rsid w:val="003E7753"/>
    <w:rsid w:val="003F07E3"/>
    <w:rsid w:val="003F5675"/>
    <w:rsid w:val="003F5CE1"/>
    <w:rsid w:val="003F6793"/>
    <w:rsid w:val="00400308"/>
    <w:rsid w:val="0040110C"/>
    <w:rsid w:val="00406636"/>
    <w:rsid w:val="0041089F"/>
    <w:rsid w:val="00410E46"/>
    <w:rsid w:val="00412687"/>
    <w:rsid w:val="004136E1"/>
    <w:rsid w:val="004221E3"/>
    <w:rsid w:val="004231E2"/>
    <w:rsid w:val="00423334"/>
    <w:rsid w:val="00423A24"/>
    <w:rsid w:val="00424397"/>
    <w:rsid w:val="0042668D"/>
    <w:rsid w:val="00426AAE"/>
    <w:rsid w:val="00430001"/>
    <w:rsid w:val="004340D9"/>
    <w:rsid w:val="004345EC"/>
    <w:rsid w:val="004359F8"/>
    <w:rsid w:val="00435B44"/>
    <w:rsid w:val="004406A5"/>
    <w:rsid w:val="00442E80"/>
    <w:rsid w:val="00443B1F"/>
    <w:rsid w:val="00445952"/>
    <w:rsid w:val="00447B7C"/>
    <w:rsid w:val="00447E12"/>
    <w:rsid w:val="0045245B"/>
    <w:rsid w:val="00472C04"/>
    <w:rsid w:val="004735B3"/>
    <w:rsid w:val="0048182A"/>
    <w:rsid w:val="004826A9"/>
    <w:rsid w:val="004837BD"/>
    <w:rsid w:val="00493D4C"/>
    <w:rsid w:val="00494804"/>
    <w:rsid w:val="004A066A"/>
    <w:rsid w:val="004A603D"/>
    <w:rsid w:val="004A6B02"/>
    <w:rsid w:val="004B0A95"/>
    <w:rsid w:val="004B0ECB"/>
    <w:rsid w:val="004C1601"/>
    <w:rsid w:val="004C21DF"/>
    <w:rsid w:val="004C5265"/>
    <w:rsid w:val="004C554E"/>
    <w:rsid w:val="004D3578"/>
    <w:rsid w:val="004D7E14"/>
    <w:rsid w:val="004E0E90"/>
    <w:rsid w:val="004E213A"/>
    <w:rsid w:val="004E39A2"/>
    <w:rsid w:val="004E3C97"/>
    <w:rsid w:val="004E53DA"/>
    <w:rsid w:val="004E7F50"/>
    <w:rsid w:val="004F07FD"/>
    <w:rsid w:val="004F0988"/>
    <w:rsid w:val="004F279C"/>
    <w:rsid w:val="004F3340"/>
    <w:rsid w:val="004F3E3D"/>
    <w:rsid w:val="004F46DD"/>
    <w:rsid w:val="004F6220"/>
    <w:rsid w:val="00503000"/>
    <w:rsid w:val="005032A8"/>
    <w:rsid w:val="005037D3"/>
    <w:rsid w:val="005042F0"/>
    <w:rsid w:val="00504E00"/>
    <w:rsid w:val="00506787"/>
    <w:rsid w:val="0051004D"/>
    <w:rsid w:val="005157F0"/>
    <w:rsid w:val="00520120"/>
    <w:rsid w:val="005204B4"/>
    <w:rsid w:val="005208B7"/>
    <w:rsid w:val="0052244D"/>
    <w:rsid w:val="005273BE"/>
    <w:rsid w:val="005312F0"/>
    <w:rsid w:val="005324C2"/>
    <w:rsid w:val="0053388B"/>
    <w:rsid w:val="00535773"/>
    <w:rsid w:val="00537C54"/>
    <w:rsid w:val="00542052"/>
    <w:rsid w:val="00543E6C"/>
    <w:rsid w:val="00551342"/>
    <w:rsid w:val="005547B0"/>
    <w:rsid w:val="00554CE1"/>
    <w:rsid w:val="00555534"/>
    <w:rsid w:val="0056039A"/>
    <w:rsid w:val="0056116C"/>
    <w:rsid w:val="005622A2"/>
    <w:rsid w:val="00562380"/>
    <w:rsid w:val="00562844"/>
    <w:rsid w:val="00564A23"/>
    <w:rsid w:val="00565087"/>
    <w:rsid w:val="0057261C"/>
    <w:rsid w:val="00572E14"/>
    <w:rsid w:val="00582450"/>
    <w:rsid w:val="00591E7E"/>
    <w:rsid w:val="005930E6"/>
    <w:rsid w:val="00596172"/>
    <w:rsid w:val="005973BE"/>
    <w:rsid w:val="005A5986"/>
    <w:rsid w:val="005B1F1B"/>
    <w:rsid w:val="005B29C5"/>
    <w:rsid w:val="005B365D"/>
    <w:rsid w:val="005B3CCF"/>
    <w:rsid w:val="005B6DD9"/>
    <w:rsid w:val="005C2A4F"/>
    <w:rsid w:val="005C4000"/>
    <w:rsid w:val="005C422A"/>
    <w:rsid w:val="005D0DD2"/>
    <w:rsid w:val="005D2E01"/>
    <w:rsid w:val="005D67FC"/>
    <w:rsid w:val="005D7526"/>
    <w:rsid w:val="005D78A9"/>
    <w:rsid w:val="005E683B"/>
    <w:rsid w:val="005E69AE"/>
    <w:rsid w:val="005F4B4C"/>
    <w:rsid w:val="005F4CDD"/>
    <w:rsid w:val="005F5B2B"/>
    <w:rsid w:val="005F6269"/>
    <w:rsid w:val="005F686C"/>
    <w:rsid w:val="00602AEA"/>
    <w:rsid w:val="00607B45"/>
    <w:rsid w:val="00607E3C"/>
    <w:rsid w:val="00614FDF"/>
    <w:rsid w:val="0061775C"/>
    <w:rsid w:val="00617ED4"/>
    <w:rsid w:val="00623C82"/>
    <w:rsid w:val="00624242"/>
    <w:rsid w:val="00624605"/>
    <w:rsid w:val="006246A7"/>
    <w:rsid w:val="0062595A"/>
    <w:rsid w:val="00632B45"/>
    <w:rsid w:val="006343D6"/>
    <w:rsid w:val="0063543D"/>
    <w:rsid w:val="00640CF9"/>
    <w:rsid w:val="00641C23"/>
    <w:rsid w:val="006459B5"/>
    <w:rsid w:val="00647114"/>
    <w:rsid w:val="0065563F"/>
    <w:rsid w:val="00662A4B"/>
    <w:rsid w:val="0066731C"/>
    <w:rsid w:val="00670349"/>
    <w:rsid w:val="006753FB"/>
    <w:rsid w:val="006759E6"/>
    <w:rsid w:val="00685171"/>
    <w:rsid w:val="006A0145"/>
    <w:rsid w:val="006A016F"/>
    <w:rsid w:val="006A0912"/>
    <w:rsid w:val="006A323F"/>
    <w:rsid w:val="006A7B92"/>
    <w:rsid w:val="006B30D0"/>
    <w:rsid w:val="006C0730"/>
    <w:rsid w:val="006C0AD3"/>
    <w:rsid w:val="006C14A4"/>
    <w:rsid w:val="006C3D95"/>
    <w:rsid w:val="006C79D3"/>
    <w:rsid w:val="006D1E99"/>
    <w:rsid w:val="006D67E7"/>
    <w:rsid w:val="006D73BB"/>
    <w:rsid w:val="006E2A42"/>
    <w:rsid w:val="006E3141"/>
    <w:rsid w:val="006E5C86"/>
    <w:rsid w:val="006F71F4"/>
    <w:rsid w:val="00700EBB"/>
    <w:rsid w:val="007010A5"/>
    <w:rsid w:val="00703E3B"/>
    <w:rsid w:val="00705538"/>
    <w:rsid w:val="007059D9"/>
    <w:rsid w:val="007060EB"/>
    <w:rsid w:val="00713C44"/>
    <w:rsid w:val="00723A44"/>
    <w:rsid w:val="00724E0C"/>
    <w:rsid w:val="00725B40"/>
    <w:rsid w:val="00726A73"/>
    <w:rsid w:val="00734A5B"/>
    <w:rsid w:val="0074026F"/>
    <w:rsid w:val="007420D3"/>
    <w:rsid w:val="007429F6"/>
    <w:rsid w:val="00742A9C"/>
    <w:rsid w:val="00742B5A"/>
    <w:rsid w:val="00744E76"/>
    <w:rsid w:val="00752198"/>
    <w:rsid w:val="00753881"/>
    <w:rsid w:val="007577D5"/>
    <w:rsid w:val="00761266"/>
    <w:rsid w:val="007615CA"/>
    <w:rsid w:val="00762483"/>
    <w:rsid w:val="00765D33"/>
    <w:rsid w:val="0077432F"/>
    <w:rsid w:val="00774DA4"/>
    <w:rsid w:val="00775195"/>
    <w:rsid w:val="00781F0F"/>
    <w:rsid w:val="007851C1"/>
    <w:rsid w:val="00786A20"/>
    <w:rsid w:val="00786D37"/>
    <w:rsid w:val="00790693"/>
    <w:rsid w:val="00791110"/>
    <w:rsid w:val="00791FEE"/>
    <w:rsid w:val="007A0E59"/>
    <w:rsid w:val="007B2F1E"/>
    <w:rsid w:val="007B462B"/>
    <w:rsid w:val="007B600E"/>
    <w:rsid w:val="007C4A4E"/>
    <w:rsid w:val="007C7A1D"/>
    <w:rsid w:val="007D48CC"/>
    <w:rsid w:val="007D5172"/>
    <w:rsid w:val="007D53B3"/>
    <w:rsid w:val="007D5A1C"/>
    <w:rsid w:val="007D7D88"/>
    <w:rsid w:val="007E2E4B"/>
    <w:rsid w:val="007E6293"/>
    <w:rsid w:val="007E7899"/>
    <w:rsid w:val="007F0AED"/>
    <w:rsid w:val="007F0F4A"/>
    <w:rsid w:val="007F708E"/>
    <w:rsid w:val="008028A4"/>
    <w:rsid w:val="008038C2"/>
    <w:rsid w:val="00805370"/>
    <w:rsid w:val="00810E8D"/>
    <w:rsid w:val="00820B25"/>
    <w:rsid w:val="00820E0F"/>
    <w:rsid w:val="00821AEF"/>
    <w:rsid w:val="00823989"/>
    <w:rsid w:val="00826E3B"/>
    <w:rsid w:val="008276AC"/>
    <w:rsid w:val="00830747"/>
    <w:rsid w:val="00831714"/>
    <w:rsid w:val="00833062"/>
    <w:rsid w:val="00833358"/>
    <w:rsid w:val="008340FF"/>
    <w:rsid w:val="008366FC"/>
    <w:rsid w:val="0083729B"/>
    <w:rsid w:val="00840D0A"/>
    <w:rsid w:val="00841896"/>
    <w:rsid w:val="0084389E"/>
    <w:rsid w:val="00843B15"/>
    <w:rsid w:val="008478EC"/>
    <w:rsid w:val="0085115B"/>
    <w:rsid w:val="008559EF"/>
    <w:rsid w:val="008569D0"/>
    <w:rsid w:val="008610F3"/>
    <w:rsid w:val="00863A2E"/>
    <w:rsid w:val="00871DFA"/>
    <w:rsid w:val="008768CA"/>
    <w:rsid w:val="00881283"/>
    <w:rsid w:val="00881429"/>
    <w:rsid w:val="0088159C"/>
    <w:rsid w:val="008826B0"/>
    <w:rsid w:val="00884853"/>
    <w:rsid w:val="00893B69"/>
    <w:rsid w:val="008A24DA"/>
    <w:rsid w:val="008A54F8"/>
    <w:rsid w:val="008A5EFF"/>
    <w:rsid w:val="008B2D3A"/>
    <w:rsid w:val="008C1634"/>
    <w:rsid w:val="008C384C"/>
    <w:rsid w:val="008C4A39"/>
    <w:rsid w:val="008C79C3"/>
    <w:rsid w:val="008D3F18"/>
    <w:rsid w:val="008E112D"/>
    <w:rsid w:val="008E3812"/>
    <w:rsid w:val="008E734D"/>
    <w:rsid w:val="008E7986"/>
    <w:rsid w:val="008F0C79"/>
    <w:rsid w:val="008F15A3"/>
    <w:rsid w:val="008F373C"/>
    <w:rsid w:val="0090271F"/>
    <w:rsid w:val="00902E23"/>
    <w:rsid w:val="009073D6"/>
    <w:rsid w:val="00910D9E"/>
    <w:rsid w:val="00911016"/>
    <w:rsid w:val="009114D7"/>
    <w:rsid w:val="009125EF"/>
    <w:rsid w:val="0091348E"/>
    <w:rsid w:val="00915D75"/>
    <w:rsid w:val="00917398"/>
    <w:rsid w:val="00917CCB"/>
    <w:rsid w:val="00924DAC"/>
    <w:rsid w:val="00926F97"/>
    <w:rsid w:val="0093011A"/>
    <w:rsid w:val="0093257B"/>
    <w:rsid w:val="00935B71"/>
    <w:rsid w:val="009426F4"/>
    <w:rsid w:val="00942EC2"/>
    <w:rsid w:val="00947ADF"/>
    <w:rsid w:val="00947F73"/>
    <w:rsid w:val="00952E10"/>
    <w:rsid w:val="00954463"/>
    <w:rsid w:val="009545A1"/>
    <w:rsid w:val="00963F84"/>
    <w:rsid w:val="00965F6D"/>
    <w:rsid w:val="00970201"/>
    <w:rsid w:val="009750A6"/>
    <w:rsid w:val="009876B4"/>
    <w:rsid w:val="00991277"/>
    <w:rsid w:val="00991C1A"/>
    <w:rsid w:val="00995869"/>
    <w:rsid w:val="009A5FB3"/>
    <w:rsid w:val="009A758A"/>
    <w:rsid w:val="009B54B4"/>
    <w:rsid w:val="009C1AD8"/>
    <w:rsid w:val="009C2C1B"/>
    <w:rsid w:val="009C412B"/>
    <w:rsid w:val="009C47B5"/>
    <w:rsid w:val="009C49E3"/>
    <w:rsid w:val="009D116D"/>
    <w:rsid w:val="009D55F3"/>
    <w:rsid w:val="009D76DA"/>
    <w:rsid w:val="009E4AB1"/>
    <w:rsid w:val="009E4D4F"/>
    <w:rsid w:val="009F237D"/>
    <w:rsid w:val="009F2B49"/>
    <w:rsid w:val="009F2F14"/>
    <w:rsid w:val="009F37B7"/>
    <w:rsid w:val="009F4887"/>
    <w:rsid w:val="009F5E43"/>
    <w:rsid w:val="00A03460"/>
    <w:rsid w:val="00A0420C"/>
    <w:rsid w:val="00A051F0"/>
    <w:rsid w:val="00A07081"/>
    <w:rsid w:val="00A07446"/>
    <w:rsid w:val="00A10F02"/>
    <w:rsid w:val="00A164B4"/>
    <w:rsid w:val="00A22938"/>
    <w:rsid w:val="00A255D6"/>
    <w:rsid w:val="00A26956"/>
    <w:rsid w:val="00A33E80"/>
    <w:rsid w:val="00A37271"/>
    <w:rsid w:val="00A378DF"/>
    <w:rsid w:val="00A41A75"/>
    <w:rsid w:val="00A41D34"/>
    <w:rsid w:val="00A42368"/>
    <w:rsid w:val="00A4303F"/>
    <w:rsid w:val="00A47362"/>
    <w:rsid w:val="00A53724"/>
    <w:rsid w:val="00A5526E"/>
    <w:rsid w:val="00A56831"/>
    <w:rsid w:val="00A66A04"/>
    <w:rsid w:val="00A72D2D"/>
    <w:rsid w:val="00A73129"/>
    <w:rsid w:val="00A74818"/>
    <w:rsid w:val="00A75C35"/>
    <w:rsid w:val="00A76978"/>
    <w:rsid w:val="00A76AAC"/>
    <w:rsid w:val="00A82039"/>
    <w:rsid w:val="00A82346"/>
    <w:rsid w:val="00A82D1F"/>
    <w:rsid w:val="00A84B1E"/>
    <w:rsid w:val="00A85DEC"/>
    <w:rsid w:val="00A8668F"/>
    <w:rsid w:val="00A9153E"/>
    <w:rsid w:val="00A91EAD"/>
    <w:rsid w:val="00A92BA1"/>
    <w:rsid w:val="00A9514D"/>
    <w:rsid w:val="00A951A7"/>
    <w:rsid w:val="00A97E81"/>
    <w:rsid w:val="00AB1ED1"/>
    <w:rsid w:val="00AB798F"/>
    <w:rsid w:val="00AB7F3B"/>
    <w:rsid w:val="00AC0039"/>
    <w:rsid w:val="00AC090B"/>
    <w:rsid w:val="00AC1040"/>
    <w:rsid w:val="00AC135F"/>
    <w:rsid w:val="00AC336B"/>
    <w:rsid w:val="00AC54B7"/>
    <w:rsid w:val="00AC6BC6"/>
    <w:rsid w:val="00AD17EC"/>
    <w:rsid w:val="00AD2973"/>
    <w:rsid w:val="00AD47EE"/>
    <w:rsid w:val="00AD5DD7"/>
    <w:rsid w:val="00AE361D"/>
    <w:rsid w:val="00AE3797"/>
    <w:rsid w:val="00AE5821"/>
    <w:rsid w:val="00AE6124"/>
    <w:rsid w:val="00AF0E51"/>
    <w:rsid w:val="00AF36D6"/>
    <w:rsid w:val="00AF3AA9"/>
    <w:rsid w:val="00AF4359"/>
    <w:rsid w:val="00AF4FE2"/>
    <w:rsid w:val="00AF5752"/>
    <w:rsid w:val="00AF76EA"/>
    <w:rsid w:val="00B0107E"/>
    <w:rsid w:val="00B03FD0"/>
    <w:rsid w:val="00B06539"/>
    <w:rsid w:val="00B10171"/>
    <w:rsid w:val="00B15449"/>
    <w:rsid w:val="00B16019"/>
    <w:rsid w:val="00B211C1"/>
    <w:rsid w:val="00B27217"/>
    <w:rsid w:val="00B27C15"/>
    <w:rsid w:val="00B32270"/>
    <w:rsid w:val="00B32B3E"/>
    <w:rsid w:val="00B3654C"/>
    <w:rsid w:val="00B376BF"/>
    <w:rsid w:val="00B43A3F"/>
    <w:rsid w:val="00B44E1F"/>
    <w:rsid w:val="00B4615A"/>
    <w:rsid w:val="00B52768"/>
    <w:rsid w:val="00B570A9"/>
    <w:rsid w:val="00B60B51"/>
    <w:rsid w:val="00B61EEA"/>
    <w:rsid w:val="00B620CD"/>
    <w:rsid w:val="00B6233A"/>
    <w:rsid w:val="00B62DE3"/>
    <w:rsid w:val="00B64997"/>
    <w:rsid w:val="00B64AF6"/>
    <w:rsid w:val="00B712E3"/>
    <w:rsid w:val="00B72D88"/>
    <w:rsid w:val="00B763CA"/>
    <w:rsid w:val="00B774BF"/>
    <w:rsid w:val="00B83171"/>
    <w:rsid w:val="00B838F7"/>
    <w:rsid w:val="00B8462F"/>
    <w:rsid w:val="00B85F36"/>
    <w:rsid w:val="00B909C3"/>
    <w:rsid w:val="00B913A1"/>
    <w:rsid w:val="00B93086"/>
    <w:rsid w:val="00B97E50"/>
    <w:rsid w:val="00BA19ED"/>
    <w:rsid w:val="00BA300B"/>
    <w:rsid w:val="00BA45FB"/>
    <w:rsid w:val="00BA4B8D"/>
    <w:rsid w:val="00BA59E2"/>
    <w:rsid w:val="00BA7900"/>
    <w:rsid w:val="00BB372C"/>
    <w:rsid w:val="00BB3EFF"/>
    <w:rsid w:val="00BB500C"/>
    <w:rsid w:val="00BC0384"/>
    <w:rsid w:val="00BC0F7D"/>
    <w:rsid w:val="00BC18F8"/>
    <w:rsid w:val="00BC4103"/>
    <w:rsid w:val="00BD69DB"/>
    <w:rsid w:val="00BE2A72"/>
    <w:rsid w:val="00BE3255"/>
    <w:rsid w:val="00BE3B9C"/>
    <w:rsid w:val="00BE5B23"/>
    <w:rsid w:val="00BE6C3F"/>
    <w:rsid w:val="00BF128E"/>
    <w:rsid w:val="00BF1E1E"/>
    <w:rsid w:val="00BF687F"/>
    <w:rsid w:val="00C02C5C"/>
    <w:rsid w:val="00C054B3"/>
    <w:rsid w:val="00C056AE"/>
    <w:rsid w:val="00C1496A"/>
    <w:rsid w:val="00C15F7F"/>
    <w:rsid w:val="00C163A6"/>
    <w:rsid w:val="00C2281E"/>
    <w:rsid w:val="00C23CE1"/>
    <w:rsid w:val="00C23FA3"/>
    <w:rsid w:val="00C24837"/>
    <w:rsid w:val="00C26810"/>
    <w:rsid w:val="00C273CF"/>
    <w:rsid w:val="00C30D9E"/>
    <w:rsid w:val="00C33079"/>
    <w:rsid w:val="00C34DDA"/>
    <w:rsid w:val="00C353F4"/>
    <w:rsid w:val="00C43765"/>
    <w:rsid w:val="00C45231"/>
    <w:rsid w:val="00C63D49"/>
    <w:rsid w:val="00C657BF"/>
    <w:rsid w:val="00C66439"/>
    <w:rsid w:val="00C72833"/>
    <w:rsid w:val="00C75869"/>
    <w:rsid w:val="00C7616D"/>
    <w:rsid w:val="00C80F1D"/>
    <w:rsid w:val="00C82174"/>
    <w:rsid w:val="00C83BD4"/>
    <w:rsid w:val="00C93F40"/>
    <w:rsid w:val="00C95679"/>
    <w:rsid w:val="00C9693D"/>
    <w:rsid w:val="00C969B2"/>
    <w:rsid w:val="00CA3D0C"/>
    <w:rsid w:val="00CA579B"/>
    <w:rsid w:val="00CA60C9"/>
    <w:rsid w:val="00CA7102"/>
    <w:rsid w:val="00CB445C"/>
    <w:rsid w:val="00CB4F7A"/>
    <w:rsid w:val="00CB51CC"/>
    <w:rsid w:val="00CB727F"/>
    <w:rsid w:val="00CC4C9A"/>
    <w:rsid w:val="00CC59FA"/>
    <w:rsid w:val="00CC742A"/>
    <w:rsid w:val="00CC76A9"/>
    <w:rsid w:val="00CD0EA6"/>
    <w:rsid w:val="00CD45C9"/>
    <w:rsid w:val="00CD655A"/>
    <w:rsid w:val="00CD76D2"/>
    <w:rsid w:val="00CE076D"/>
    <w:rsid w:val="00CE4C40"/>
    <w:rsid w:val="00CF0171"/>
    <w:rsid w:val="00CF20E3"/>
    <w:rsid w:val="00CF4FEF"/>
    <w:rsid w:val="00CF768E"/>
    <w:rsid w:val="00CF78DE"/>
    <w:rsid w:val="00D008D3"/>
    <w:rsid w:val="00D031B0"/>
    <w:rsid w:val="00D04514"/>
    <w:rsid w:val="00D05632"/>
    <w:rsid w:val="00D074E7"/>
    <w:rsid w:val="00D07C26"/>
    <w:rsid w:val="00D1546F"/>
    <w:rsid w:val="00D17573"/>
    <w:rsid w:val="00D3057E"/>
    <w:rsid w:val="00D30938"/>
    <w:rsid w:val="00D309CC"/>
    <w:rsid w:val="00D41667"/>
    <w:rsid w:val="00D42AC7"/>
    <w:rsid w:val="00D46431"/>
    <w:rsid w:val="00D55AC7"/>
    <w:rsid w:val="00D56A52"/>
    <w:rsid w:val="00D57972"/>
    <w:rsid w:val="00D673CA"/>
    <w:rsid w:val="00D675A9"/>
    <w:rsid w:val="00D67845"/>
    <w:rsid w:val="00D71BD1"/>
    <w:rsid w:val="00D733D5"/>
    <w:rsid w:val="00D738D6"/>
    <w:rsid w:val="00D755EB"/>
    <w:rsid w:val="00D77439"/>
    <w:rsid w:val="00D820C4"/>
    <w:rsid w:val="00D82C13"/>
    <w:rsid w:val="00D83477"/>
    <w:rsid w:val="00D836CB"/>
    <w:rsid w:val="00D857BA"/>
    <w:rsid w:val="00D8640F"/>
    <w:rsid w:val="00D866D7"/>
    <w:rsid w:val="00D87497"/>
    <w:rsid w:val="00D87788"/>
    <w:rsid w:val="00D877CA"/>
    <w:rsid w:val="00D87E00"/>
    <w:rsid w:val="00D9134D"/>
    <w:rsid w:val="00D970EA"/>
    <w:rsid w:val="00D97FCF"/>
    <w:rsid w:val="00DA2527"/>
    <w:rsid w:val="00DA27C2"/>
    <w:rsid w:val="00DA60EC"/>
    <w:rsid w:val="00DA65F1"/>
    <w:rsid w:val="00DA7A03"/>
    <w:rsid w:val="00DB0281"/>
    <w:rsid w:val="00DB1818"/>
    <w:rsid w:val="00DB5EF6"/>
    <w:rsid w:val="00DC1E15"/>
    <w:rsid w:val="00DC309B"/>
    <w:rsid w:val="00DC4DA2"/>
    <w:rsid w:val="00DC7727"/>
    <w:rsid w:val="00DD03DF"/>
    <w:rsid w:val="00DD18AC"/>
    <w:rsid w:val="00DD27CF"/>
    <w:rsid w:val="00DD4C17"/>
    <w:rsid w:val="00DD5915"/>
    <w:rsid w:val="00DD7EA0"/>
    <w:rsid w:val="00DE33CB"/>
    <w:rsid w:val="00DE676A"/>
    <w:rsid w:val="00DF2B1F"/>
    <w:rsid w:val="00DF6189"/>
    <w:rsid w:val="00DF62CD"/>
    <w:rsid w:val="00E00755"/>
    <w:rsid w:val="00E02E2B"/>
    <w:rsid w:val="00E068AE"/>
    <w:rsid w:val="00E07D2B"/>
    <w:rsid w:val="00E100E0"/>
    <w:rsid w:val="00E10A8C"/>
    <w:rsid w:val="00E11F1D"/>
    <w:rsid w:val="00E144A6"/>
    <w:rsid w:val="00E1558D"/>
    <w:rsid w:val="00E16486"/>
    <w:rsid w:val="00E16509"/>
    <w:rsid w:val="00E169E4"/>
    <w:rsid w:val="00E22E04"/>
    <w:rsid w:val="00E33FC7"/>
    <w:rsid w:val="00E34D49"/>
    <w:rsid w:val="00E40560"/>
    <w:rsid w:val="00E41341"/>
    <w:rsid w:val="00E44582"/>
    <w:rsid w:val="00E45E4A"/>
    <w:rsid w:val="00E45EDF"/>
    <w:rsid w:val="00E52814"/>
    <w:rsid w:val="00E55151"/>
    <w:rsid w:val="00E670FF"/>
    <w:rsid w:val="00E672F3"/>
    <w:rsid w:val="00E67C3E"/>
    <w:rsid w:val="00E72324"/>
    <w:rsid w:val="00E723B3"/>
    <w:rsid w:val="00E729F0"/>
    <w:rsid w:val="00E72ABE"/>
    <w:rsid w:val="00E75C6A"/>
    <w:rsid w:val="00E77645"/>
    <w:rsid w:val="00E81945"/>
    <w:rsid w:val="00E834B8"/>
    <w:rsid w:val="00E84530"/>
    <w:rsid w:val="00E85A25"/>
    <w:rsid w:val="00E87309"/>
    <w:rsid w:val="00E87A96"/>
    <w:rsid w:val="00E90EC1"/>
    <w:rsid w:val="00E95657"/>
    <w:rsid w:val="00EA59EF"/>
    <w:rsid w:val="00EA6EB0"/>
    <w:rsid w:val="00EB22F4"/>
    <w:rsid w:val="00EB233F"/>
    <w:rsid w:val="00EB6F66"/>
    <w:rsid w:val="00EC3517"/>
    <w:rsid w:val="00EC454E"/>
    <w:rsid w:val="00EC4A25"/>
    <w:rsid w:val="00ED2E9E"/>
    <w:rsid w:val="00EE0D55"/>
    <w:rsid w:val="00EE2719"/>
    <w:rsid w:val="00EE4AD0"/>
    <w:rsid w:val="00EE57BC"/>
    <w:rsid w:val="00EE5AA7"/>
    <w:rsid w:val="00EF1083"/>
    <w:rsid w:val="00EF433E"/>
    <w:rsid w:val="00EF4B21"/>
    <w:rsid w:val="00EF696C"/>
    <w:rsid w:val="00EF718A"/>
    <w:rsid w:val="00F025A2"/>
    <w:rsid w:val="00F027A2"/>
    <w:rsid w:val="00F0286F"/>
    <w:rsid w:val="00F03D8B"/>
    <w:rsid w:val="00F04712"/>
    <w:rsid w:val="00F0567B"/>
    <w:rsid w:val="00F064C8"/>
    <w:rsid w:val="00F07B00"/>
    <w:rsid w:val="00F1639A"/>
    <w:rsid w:val="00F20665"/>
    <w:rsid w:val="00F20DA5"/>
    <w:rsid w:val="00F21311"/>
    <w:rsid w:val="00F21696"/>
    <w:rsid w:val="00F22EC7"/>
    <w:rsid w:val="00F2340C"/>
    <w:rsid w:val="00F3025B"/>
    <w:rsid w:val="00F31878"/>
    <w:rsid w:val="00F31A38"/>
    <w:rsid w:val="00F32452"/>
    <w:rsid w:val="00F325C8"/>
    <w:rsid w:val="00F3263B"/>
    <w:rsid w:val="00F33616"/>
    <w:rsid w:val="00F35F4C"/>
    <w:rsid w:val="00F36DC7"/>
    <w:rsid w:val="00F40BE4"/>
    <w:rsid w:val="00F41289"/>
    <w:rsid w:val="00F417A1"/>
    <w:rsid w:val="00F54C0F"/>
    <w:rsid w:val="00F60D0A"/>
    <w:rsid w:val="00F614F2"/>
    <w:rsid w:val="00F61745"/>
    <w:rsid w:val="00F62112"/>
    <w:rsid w:val="00F62AEB"/>
    <w:rsid w:val="00F63709"/>
    <w:rsid w:val="00F63841"/>
    <w:rsid w:val="00F64097"/>
    <w:rsid w:val="00F64730"/>
    <w:rsid w:val="00F653B8"/>
    <w:rsid w:val="00F70647"/>
    <w:rsid w:val="00F71571"/>
    <w:rsid w:val="00F74935"/>
    <w:rsid w:val="00F75917"/>
    <w:rsid w:val="00F8253B"/>
    <w:rsid w:val="00F973A0"/>
    <w:rsid w:val="00FA1266"/>
    <w:rsid w:val="00FA2910"/>
    <w:rsid w:val="00FA487C"/>
    <w:rsid w:val="00FA65D0"/>
    <w:rsid w:val="00FB56EC"/>
    <w:rsid w:val="00FC1192"/>
    <w:rsid w:val="00FC3923"/>
    <w:rsid w:val="00FC41AB"/>
    <w:rsid w:val="00FC671A"/>
    <w:rsid w:val="00FD1E6E"/>
    <w:rsid w:val="00FD28D0"/>
    <w:rsid w:val="00FD2E2F"/>
    <w:rsid w:val="00FD2F5C"/>
    <w:rsid w:val="00FD3696"/>
    <w:rsid w:val="00FE092E"/>
    <w:rsid w:val="00FE2A7F"/>
    <w:rsid w:val="00FE59EB"/>
    <w:rsid w:val="00FF76F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paragraph" w:styleId="Caption">
    <w:name w:val="caption"/>
    <w:basedOn w:val="Normal"/>
    <w:next w:val="Normal"/>
    <w:unhideWhenUsed/>
    <w:qFormat/>
    <w:rsid w:val="003F5CE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756363984">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2058115">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130</TotalTime>
  <Pages>3</Pages>
  <Words>988</Words>
  <Characters>5633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6608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23</cp:revision>
  <cp:lastPrinted>2019-02-25T14:05:00Z</cp:lastPrinted>
  <dcterms:created xsi:type="dcterms:W3CDTF">2023-08-09T18:00:00Z</dcterms:created>
  <dcterms:modified xsi:type="dcterms:W3CDTF">2023-09-27T22:53:00Z</dcterms:modified>
  <cp:category/>
</cp:coreProperties>
</file>